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54 vom 18. Juni 2024</w:t>
      </w:r>
    </w:p>
    <w:p>
      <w:r>
        <w:t>FR Kantonsgericht, 2024-06-18, FR</w:t>
      </w:r>
    </w:p>
    <w:p>
      <w:r>
        <w:rPr>
          <w:b/>
        </w:rPr>
        <w:t xml:space="preserve">Quelle: </w:t>
      </w:r>
      <w:r>
        <w:t>https://mcp.opencaselaw.ch/entscheid/fr_gerichte_102_2024_54</w:t>
      </w:r>
    </w:p>
    <w:p>
      <w:r>
        <w:t>FR: FR_GERICHTE 102 2024 54 du 18 juin 2024</w:t>
      </w:r>
    </w:p>
    <w:p>
      <w:r>
        <w:t>IT: FR_GERICHTE 102 2024 54 del 18 giugno 2024</w:t>
      </w:r>
    </w:p>
    <w:p>
      <w:pPr>
        <w:pStyle w:val="Heading2"/>
      </w:pPr>
      <w:r>
        <w:t>Regeste</w:t>
      </w:r>
    </w:p>
    <w:p>
      <w:r>
        <w:t>Arrêt de la IIe Cour d'appel civil du Tribunal cantonal | Rechtsöffnung</w:t>
      </w:r>
    </w:p>
    <w:p>
      <w:pPr>
        <w:pStyle w:val="Heading2"/>
      </w:pPr>
      <w:r>
        <w:t>Erwägungen</w:t>
      </w:r>
    </w:p>
    <w:p>
      <w:r>
        <w:rPr>
          <w:b/>
        </w:rPr>
        <w:t>E. 30</w:t>
      </w:r>
    </w:p>
    <w:p>
      <w:r>
        <w:t>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première instance est de CHF 6'000.- (art. 64 al. 1 let. a RJ) et, en cas de recours contre une décision du juge unique, de CHF 3'000.-, montant pouvant être doublé si des circonstances particulières le justifient (art. 64 al. 1 let. e et al. 2 RJ). En l'espèce, compte tenu de ces critères, les dépens de A.________ Sàrl pour la procédure de première instance sont fixés globalement à CHF 538.50, TVA à 7.7 %, soit CHF 38.50, comprise, et, pour la procédure de recours, ils sont arrêtés globalement à une indemnité de CHF 540.50, TVA à 8.1 %, soit CHF 40.50, comprise. (dispositif en page suivante)</w:t>
      </w:r>
    </w:p>
    <w:p>
      <w:r>
        <w:t>Tribunal cantonal TC Page 7 de 7 la Cour arrête : I. Le recours est admis. II. Partant, la décision de la Présidente du Tribunal civil de l’arrondissement de la Sarine du 12 mars 2023 est modifiée et prend la teneur suivante : 1. Les requêtes de mainlevée sont admises. 2. La mainlevée provisoire de l’opposition formée par B.________ au commandement de payer n°ddd de I'Office des poursuites de la Sarine, notifié le 3 octobre 2023 à l’instance de A.________ Sàrl, est prononcée à concurrence de CHF 160'000.- avec intérêts à 5 % l’an dès le 31 août 2023 ainsi que pour les frais de poursuite. 3. La mainlevée provisoire de l’opposition formée par C.________ au commandement de payer n°eee de I'Office des poursuites de la Sarine, notifié le 4 octobre 2023 à l’instance de A.________ Sàrl, est prononcée à concurrence de CHF 160'000.- avec intérêts à 5 % l’an dès le 31 août 2023 ainsi que pour les frais de poursuite. 4. Les dépens alloués à A.________ Sàrl, fixés globalement à CHF 538.50 (TVA à 7.7 % par CHF 38.50 comprise) sont mis à la charge de B.________ et de C.________, solidairement entre eux. 5. Les frais judiciaires dus à l’Etat, fixés à CHF 800.-, sont mis à la charge de B.________ et de C.________, solidairement entre eux. Ils seront prélevés sur l’avance de frais effectuée par A.________ Sàrl qui a droit à son remboursement par B.________ et de C.________. II. Les frais de la procédure de recours sont mis à la charge de B.________ et de C.________, solidairement entre eux. Les frais judiciaires dus à l’Etat, fixés forfaitairement à CHF 1’000-, sont prélevés sur l’avance de frais du même montant effectuée par A.________ Sàrl qui a droit à son remboursement par B.________ et de C.________. III. Il est alloué à A.________ Sàrl, à la charge de B.________ et de C.________, solidairement entre eux, une indemnité de CHF 540.50, TVA à 8.1 % par CHF 40.50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juin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