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53 vom 18. April 2024</w:t>
      </w:r>
    </w:p>
    <w:p>
      <w:r>
        <w:t>FR Kantonsgericht, 2024-04-18, DE</w:t>
      </w:r>
    </w:p>
    <w:p>
      <w:r>
        <w:rPr>
          <w:b/>
        </w:rPr>
        <w:t xml:space="preserve">Quelle: </w:t>
      </w:r>
      <w:r>
        <w:t>https://mcp.opencaselaw.ch/entscheid/fr_gerichte_102_2024_53</w:t>
      </w:r>
    </w:p>
    <w:p>
      <w:r>
        <w:t>FR: FR_GERICHTE 102 2024 53 du 18 avril 2024</w:t>
      </w:r>
    </w:p>
    <w:p>
      <w:r>
        <w:t>IT: FR_GERICHTE 102 2024 53 del 18 aprile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le recourant a produit, au stade du recours seulement, un décompte d’opération de l’Office des poursuites de la Broye et un document intitulé « réquisition de poursuite ». Il fait également valoir des allégués dont il n’a pas parlé en première instance. Ces nouveaux moyens, tardifs au regard de l’art. 326 al. 1 CPC, sont irrecevables. Il n’en sera dès lors pas tenu compte et la Cour statuera sur la base des allégués et des pièces produites en première instance.</w:t>
      </w:r>
    </w:p>
    <w:p>
      <w:r>
        <w:rPr>
          <w:b/>
        </w:rPr>
        <w:t>E. 2.1</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Tribunal cantonal TC Page 3 de 4 La procédure de mainlevée provisoire, ou définitive, est une procédure sur pièces (Urkunden- 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142 III 720 consid. 4.1;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ATF 139 III 297 consid. 2.3.1; ATF 136 III 624 consid. 4.2.2; ATF 136 III 627 consid. 2 et la jurisprudence citée).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(BSK SchKG I-STAEHELIN, 3e éd. 2021, art. 82 LP, n. 25 et la jurisprudence citée). Cependant, dans tous les cas, pour constituer un titre de mainlevée, la reconnaissance de dette doit être signée par le débiteur ou son représentant, à moins qu'elle ne soit contenue dans un acte authentique (CR LP-SCHMIDT, 2005, art. 82 LP, n. 19).</w:t>
      </w:r>
    </w:p>
    <w:p>
      <w:r>
        <w:rPr>
          <w:b/>
        </w:rPr>
        <w:t>E. 2.2</w:t>
      </w:r>
    </w:p>
    <w:p>
      <w:r>
        <w:t>En l’espèce, comme l’a justement constaté le premier juge, le requérant n’a produit aucune pièce signée par l’opposant, la facture du 23 octobre 2023 ainsi que les rappels adressés à l’opposant n’étant pas signés par ce dernier et ne constituant ainsi pas des reconnaissances de dette valant titre de mainlevée provisoire. Pour le surplus, le requérant se borne à livrer sa propre version des faits sur le fondement de la créance, sans toutefois formuler de critiques sur les motifs de la décision attaquée. En l’absence d’un titre de mainlevée provisoire au sens de l’art. 82 LP, le recours, manifestement mal fondé, doit être rejeté.</w:t>
      </w:r>
    </w:p>
    <w:p>
      <w:r>
        <w:rPr>
          <w:b/>
        </w:rPr>
        <w:t>E. 3</w:t>
      </w:r>
    </w:p>
    <w:p>
      <w:r>
        <w:t>Les frais de la procédure de recours sont mis à la charge du recourant, qui succombe (art. 106 al. 1 CPC).</w:t>
      </w:r>
    </w:p>
    <w:p>
      <w:r>
        <w:rPr>
          <w:b/>
        </w:rPr>
        <w:t>E. 3.1</w:t>
      </w:r>
    </w:p>
    <w:p>
      <w:r>
        <w:t>Ils comprennent les frais judiciaires – fixés forfaitairement à CHF 150.- (art. 48 et 61 al. 1 OELP).</w:t>
      </w:r>
    </w:p>
    <w:p>
      <w:r>
        <w:rPr>
          <w:b/>
        </w:rPr>
        <w:t>E. 3.2</w:t>
      </w:r>
    </w:p>
    <w:p>
      <w:r>
        <w:t>Il n'est pas alloué de dépens à l'intimé qui n'a pas été invité à déposer une réponse conformément au prescrit de l'art. 322 al. 1 CPC. (dispositif en page suivante) Tribunal cantonal TC Page 4 de 4 la Cour arrête : I. Le recours est rejeté. II. Les frais de la procédure de recours sont mis à la charge de A.________. Les frais judiciaires sont fixés à CHF 150.-. Ils sont prélevés sur l’avance de frais versée par A.________ le 9 avril 2024.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avril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