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32 vom 18. März 2024</w:t>
      </w:r>
    </w:p>
    <w:p>
      <w:r>
        <w:t>FR Kantonsgericht, 2024-03-18, DE</w:t>
      </w:r>
    </w:p>
    <w:p>
      <w:r>
        <w:rPr>
          <w:b/>
        </w:rPr>
        <w:t xml:space="preserve">Quelle: </w:t>
      </w:r>
      <w:r>
        <w:t>https://mcp.opencaselaw.ch/entscheid/fr_gerichte_102_2024_32</w:t>
      </w:r>
    </w:p>
    <w:p>
      <w:r>
        <w:t>FR: FR_GERICHTE 102 2024 32 du 18 mars 2024</w:t>
      </w:r>
    </w:p>
    <w:p>
      <w:r>
        <w:t>IT: FR_GERICHTE 102 2024 32 del 18 marzo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a produit, au stade du recours seulement, des pièces et des allégués qui ne l’ont pas été en première instance. Ces nouveaux moyens, tardifs au regard de l’art. 326 al. 1 CPC, sont irrecevables. Il n’en sera dès lors pas tenu compte et la Cour statuera sur la base des allégués et des pièces produites en première instance. En outre, même si l’opposante concluait en première instance à l’irrecevabilité de la requête, faute de compétence matérielle du Tribunal des prud’hommes à qui avait été adressée la requête de mainlevée, elle aurait dû prendre des conclusions subsidiaires sur le fond également en alléguant les faits pertinents et les moyens de Tribunal cantonal TC Page 3 de 5 preuves nécessaires. Elle ne pouvait compter sur le fait qu’il y ait un second échange d’écritures pour faire valoir ses moyens sur le fond dès lors que la procédure de mainlevée est soumise à la procédure sommaire (art. 252 ss CPC).</w:t>
      </w:r>
    </w:p>
    <w:p>
      <w:r>
        <w:rPr>
          <w:b/>
        </w:rPr>
        <w:t>E. 2</w:t>
      </w:r>
    </w:p>
    <w:p>
      <w:r>
        <w:t>La recourante se plaint, dans un premier grief, du fait que le Tribunal des prud’hommes, à qui a été adressée la requête de mainlevée, n’était pas matériellement compétent pour juger une procédure de mainlevée et soutient qu’il aurait dû déclarer la requête irrecevable. En l’espèce, cette question peut demeurer ouverte dès lors que le recours peut, quoi qu’il en soit, être admis pour un autre motif (cf. infra consid. 3).</w:t>
      </w:r>
    </w:p>
    <w:p>
      <w:r>
        <w:rPr>
          <w:b/>
        </w:rPr>
        <w:t>E. 3.1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l’occurrence, en date du 8 juin 2023, les parties ont conclu un contrat de location de service par lequel B.________ SA mettait à disposition de la recourante, pour une durée indéterminée de maximum trois mois dès le 12 juin 2023, D.________ en qualité de monteur de panneaux solaires, classe D, au tarif horaire de CHF 40.50, plus TVA. De plus, le contrat prévoit qu’ « en apposant votre signature au bas du présent document, vous confirmez votre acceptation des conditions générales figurant au verso du présent document ». L’art. « 3.8. Etablissement du rapport de travail » des conditions générales du contrat figurant au verso de celui-ci prévoit qu’ « En apposant sa signature sur le rapport de travail, l’entreprise utilisatrice atteste l’exactitude des renseignements qui y sont contenus. Les heures de travail Tribunal cantonal TC Page 4 de 5 effectuées en dehors de l’horaire de travail mentionné dans le contrat de location de services sont à compter comme heures supplémentaires. Elles doivent figurer séparément sur le rapport de travail avec le supplément en pour cent correspondants. Le rapport de travail est la base de facturation et de rémunération. Une fois signé, il est considéré comme valable et ne peut plus être contesté. Il vaut reconnaissance de dette au sens de l’art. 82 LP ». L’art. « 3.9. Transmission du rapport de travail » dispose également que « Chaque fin de semaine, le collaborateur doit présenter à l’entreprise utilisatrice le rapport de travail que cette dernière, après contrôle, timbre et signe. Seules les heures de travail reconnues par l’entreprise utilisatrice ainsi que les frais de déplacement et les frais convenus à l’avance, seront facturés. Demeure réservé le cas du collaborateur qui parviendrait à établir d’une autre manière qu’il a effectué des heures ne figurant pas dans le rapport de travail ». L’art. « 3.11 Facturation à l’établissement d’affectation » va dans le même sens. Il prévoit que « Le rapport signé par l’entreprise utilisatrice permet l’établissement de la facture de B.________ conformément aux conditions convenues et stipulées dans le contrat de location de services ». En l’espèce, le rapport de travail produit par la requérante (cf. pièce 4 de sa requête) est bien signé par l’employé mais pas par l’entreprise utilisatrice, soit la recourante. Partant, ce document ne constitue pas une reconnaissance de dette, comme le prévoit l’art. 3.8. des conditions générales du contrat et ne vaut donc pas titre de mainlevée provisoire. Partant, la requête de mainlevée aurait dû être rejetée en l’absence d’un titre de mainlevée, le contrat exigeant expressément, dans ses conditions générales, la signature du rapport de travail hebdomadaire par l’entreprise utilisatrice. Il s’ensuit l’admission du recours et le rejet de la requête de mainlevée.</w:t>
      </w:r>
    </w:p>
    <w:p>
      <w:r>
        <w:rPr>
          <w:b/>
        </w:rPr>
        <w:t>E. 4.1</w:t>
      </w:r>
    </w:p>
    <w:p>
      <w:r>
        <w:t>Compte tenu de l’issue du recours, les frais de la procédure de première instance sont mis à la charge de B.________ SA. Le montant des frais judiciaires, fixé à CHF 160.-, n’a en outre pas été remis en cause au stade du recours, de sorte qu’il peut être confirmé. Il n’y a pas lieu d’alloué d’indemnité à A.________ Sàrl, qui n’en a pas requise, qui n’était pas représentée par un avocat, et qui s’est déterminée dans un simple courrier.</w:t>
      </w:r>
    </w:p>
    <w:p>
      <w:r>
        <w:rPr>
          <w:b/>
        </w:rPr>
        <w:t>E. 4.2</w:t>
      </w:r>
    </w:p>
    <w:p>
      <w:r>
        <w:t>Les frais de la procédure de recours sont mis à la charge de l’intimée, qui succombe (art. 106 al. 1 CPC). Ils comprennent les frais judiciaires, fixés forfaitairement à CHF 150.- (art. 48 OELP), qui seront prélevés sur l’avance de frais effectuée par la recourante, qui a droit à son remboursement par l’intimée. Il n’est pas alloué de dépens à la recourante qui ne s’est pas attachée les services d’un mandataire professionnel et qui n’a au demeurant pris aucune conclusion tendant au versement d’une équitable indemnité de partie. (dispositif en page suivante) Tribunal cantonal TC Page 5 de 5 la Cour arrête : I. Le recours est admis. Partant, la décision du Président du Tribunal civil de l’arrondissement de la Veveyse du 31 janvier 2024 est réformée et prend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