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 vom 9. Februar 2024</w:t>
      </w:r>
    </w:p>
    <w:p>
      <w:r>
        <w:t>FR Kantonsgericht, 2024-02-09, FR</w:t>
      </w:r>
    </w:p>
    <w:p>
      <w:r>
        <w:rPr>
          <w:b/>
        </w:rPr>
        <w:t xml:space="preserve">Quelle: </w:t>
      </w:r>
      <w:r>
        <w:t>https://mcp.opencaselaw.ch/entscheid/fr_gerichte_102_2024_2</w:t>
      </w:r>
    </w:p>
    <w:p>
      <w:r>
        <w:t>FR: FR_GERICHTE 102 2024 2 du 9 février 2024</w:t>
      </w:r>
    </w:p>
    <w:p>
      <w:r>
        <w:t>IT: FR_GERICHTE 102 2024 2 del 9 febbraio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la recourante a produit, au stade du recours seulement, l’ordonnance pénale du Ministère public du 12 janvier 2024 reconnaissant C.________ coupable d’escroquerie au préjudice de la recourante. Ce nouveau moyen, tardif au regard de l’art. 326 al. 1 CPC, est irrecevable. Il n’en sera dès lors pas tenu compte et la Cour statuera sur la base des allégués et des pièces produites en première instance.</w:t>
      </w:r>
    </w:p>
    <w:p>
      <w:r>
        <w:t>Tribunal cantonal TC Page 3 de 4</w:t>
      </w:r>
    </w:p>
    <w:p>
      <w:r>
        <w:rPr>
          <w:b/>
        </w:rPr>
        <w:t>E. 2.1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ATF 139 III 297 consid. 2.3.1; ATF 136 III 624 consid. 4.2.2; ATF 136 III 627 consid. 2 et la jurisprudence citée).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(BSK SchKG I-STAEHELIN, 3e éd. 2021, art. 82 LP, n. 25 et la jurisprudence citée). Cependant, dans tous les cas, pour constituer un titre de mainlevée, la reconnaissance de dette doit être signée par le débiteur ou son représentant, à moins qu'elle ne soit contenue dans un acte authentique (CR LP-SCHMIDT, 2005, art. 82 LP, n. 19).</w:t>
      </w:r>
    </w:p>
    <w:p>
      <w:r>
        <w:rPr>
          <w:b/>
        </w:rPr>
        <w:t>E. 2.2</w:t>
      </w:r>
    </w:p>
    <w:p>
      <w:r>
        <w:t>En l’espèce, comme l’a justement constaté la première juge, la requérante n’a produit aucune pièce signée par l’opposant, les messages téléphoniques produits ne constituant pas des reconnaissances de dette et ne valant ainsi pas titre de mainlevée provisoire. Pour le surplus, la requérante n’a produit aucune autre pièce dans laquelle l’opposant reconnaît être débiteur de la somme réclamée. La requérante n’est donc pas au bénéfice d’un titre de mainlevée provisoire au sens de l’art. 82 LP et le recours, manifestement mal fondé, doit être rejeté. La Cour relève toutefois que la requérante pourra déposer une nouvelle réquisition de poursuite à l’encontre de l’opposant sur la base de l’ordonnance pénale du 12 janvier 2024 une fois qu’elle sera définitive et exécutoire.</w:t>
      </w:r>
    </w:p>
    <w:p>
      <w:r>
        <w:rPr>
          <w:b/>
        </w:rPr>
        <w:t>E. 3</w:t>
      </w:r>
    </w:p>
    <w:p>
      <w:r>
        <w:t>Les frais de la procédure de recours sont mis à la charge de la recourante, qui succombe (art. 106 al. 1 CPC).</w:t>
      </w:r>
    </w:p>
    <w:p>
      <w:r>
        <w:rPr>
          <w:b/>
        </w:rPr>
        <w:t>E. 3.1</w:t>
      </w:r>
    </w:p>
    <w:p>
      <w:r>
        <w:t>Ils comprennent les frais judiciaires – fixés forfaitairement à CHF 150.- (art. 48 et 61 al. 1 OELP).</w:t>
      </w:r>
    </w:p>
    <w:p>
      <w:r>
        <w:rPr>
          <w:b/>
        </w:rPr>
        <w:t>E. 3.2</w:t>
      </w:r>
    </w:p>
    <w:p>
      <w:r>
        <w:t>Il n'est pas alloué de dépens à l'intimé qui n'a pas été invité à déposer une réponse conformément au prescrit de l'art. 322 al. 1 CPC.</w:t>
      </w:r>
    </w:p>
    <w:p>
      <w:r>
        <w:t>Tribunal cantonal TC Page 4 de 4 la Cour arrête : I. Le recours est rejeté. II. Les frais de la procédure de recours sont mis à la charge de A.________. Les frais judiciaires sont fixés à CHF 150.-. Ils sont prélevés sur l’avance de frais versée par A.________ le 24 janvier 2024.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février 2024/say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