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198 vom 20. Dezember 2024</w:t>
      </w:r>
    </w:p>
    <w:p>
      <w:r>
        <w:t>FR Kantonsgericht, 2024-12-20, DE</w:t>
      </w:r>
    </w:p>
    <w:p>
      <w:r>
        <w:rPr>
          <w:b/>
        </w:rPr>
        <w:t xml:space="preserve">Quelle: </w:t>
      </w:r>
      <w:r>
        <w:t>https://mcp.opencaselaw.ch/entscheid/fr_gerichte_102_2024_198</w:t>
      </w:r>
    </w:p>
    <w:p>
      <w:r>
        <w:t>FR: FR_GERICHTE 102 2024 198 du 20 décembre 2024</w:t>
      </w:r>
    </w:p>
    <w:p>
      <w:r>
        <w:t>IT: FR_GERICHTE 102 2024 198 del 20 dicembre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10. September 2024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begründete Entscheid wurde dem Beschwerdeführer am 19. Oktober 2024 zugestellt (vgl. Akten der Zivilgerichtspräsidentin), so dass die am 29. Oktober 2024 der Post übergebene Beschwerde fristgerecht erfolgte.</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4</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2023 135 vom 16. August 2023; 102 2020 115 vom 14. Juli 2020 E. 2; 102 2021 117 vom 2. August 2021 E. 2.1; BGE 138 III 374 E. 4.3.1). Der Beschwerdeführer macht in seiner Beschwerde eine unrichtige Rechtsanwendung und eine offensichtlich unrichtige Feststellung des Sachverhalts sowie einen Verstoss gegen das Persönlich- keitsrecht und den Datenschutz geltend, wobei er diese Angelegenheit der Staatsanwaltschaft über- geben werde und die Vollstreckung des vorliegenden Verfahrens deshalb bis zur Erledigung dieser Angelegenheit aufzuschieben sei. Seine Ausführungen betreffen fast ausschliesslich die Problema- tik der vertauschten Zustellung von Verfügungen. Mit dem angefochtenen Entscheid setzt sich der Beschwerdeführer jedoch nicht auseinander und es fehlt jegliche massgebende Begründung. Er zeigt nicht auf, inwiefern die Vorinstanz das Recht verletzt hat oder weshalb die Sachverhaltsfest- stellung unrichtig ist. Die am 29. Oktober 2024 eingereichte Beschwerde erfüllt damit die Anforde- rungen an den Inhalt bzw. die Begründung einer Beschwerdeschrift nicht, so dass darauf nicht einzu- treten ist. Im Übrigen wäre die Beschwerde zudem ohnehin abzuweisen, wie nachfolgend dargelegt.</w:t>
      </w:r>
    </w:p>
    <w:p>
      <w:r>
        <w:rPr>
          <w:b/>
        </w:rPr>
        <w:t>E. 3</w:t>
      </w:r>
    </w:p>
    <w:p>
      <w:r>
        <w:t>Nach Art. 80 Abs. 1 SchKG kann der Gläubiger beim Gericht die Aufhebung des Rechtsvorschlags (definitive Rechtsöffnung) verlangen, wenn die Forderung auf einem vollstreckbaren gerichtlichen Entscheid beruht.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Die vorliegend durch den Beschwerdegegner in Betreibung gesetzte Forderung gegen den Beschwerdeführer beruht auf dem Urteil des Strafappellationshofes vom 18. Dezember 2020, welches durch Urteil des Bundesgerichts vom 8. Dezember 2021 bestätigt wurde und somit offen- sichtlich vollstreckbar und rechtskräftig ist. Der Beschwerdeführer bringt nicht vor, dass diese Schuld getilgt oder gestundet worden ist und hat auch nicht die Verjährung angerufen. Andere Einwendun- gen sind nicht zu hören, weshalb die Beschwerde so oder anders abgewiesen werden müsste.</w:t>
      </w:r>
    </w:p>
    <w:p>
      <w:r>
        <w:rPr>
          <w:b/>
        </w:rPr>
        <w:t>E. 4</w:t>
      </w:r>
    </w:p>
    <w:p>
      <w:r>
        <w:t>Mit dem Entscheid in der Hauptsache wird das Gesuch um aufschiebende Wirkung gegenstandslos.</w:t>
      </w:r>
    </w:p>
    <w:p>
      <w:r>
        <w:rPr>
          <w:b/>
        </w:rPr>
        <w:t>E. 5</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w:t>
      </w:r>
    </w:p>
    <w:p>
      <w:r>
        <w:t>Kantonsgericht KG Seite 4 von 4 CHF 250.- festzusetzen (Art. 48 und 61 Abs. 1 GebV SchKG). Sie werden vom geleisteten Kosten- vorschuss bezogen. Dem Beschwerdegegner, der im Übrigen auf eine Stellungnahme verzichtete, ist keine Parteient- schädigung auszurichten. Der Hof erkennt: I. Auf die Beschwerde wird nicht eingetreten. II. Das Gesuch um aufschiebende Wirkung ist gegenstandslos und wird abgeschrieben. III. Die Prozesskosten des Beschwerdeverfahrens werden A.________ auferlegt. Die Gerichtskosten werden auf CHF 250.- festgesetzt und vom geleisteten Kostenvorschuss bezogen. Es werden keine Parteientschädigungen ausgerichtet.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20. Dezember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