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192 vom 28. November 2024</w:t>
      </w:r>
    </w:p>
    <w:p>
      <w:r>
        <w:t>FR Kantonsgericht, 2024-11-28, DE</w:t>
      </w:r>
    </w:p>
    <w:p>
      <w:r>
        <w:rPr>
          <w:b/>
        </w:rPr>
        <w:t xml:space="preserve">Quelle: </w:t>
      </w:r>
      <w:r>
        <w:t>https://mcp.opencaselaw.ch/entscheid/fr_gerichte_102_2024_192</w:t>
      </w:r>
    </w:p>
    <w:p>
      <w:r>
        <w:t>FR: FR_GERICHTE 102 2024 192 du 28 novembre 2024</w:t>
      </w:r>
    </w:p>
    <w:p>
      <w:r>
        <w:t>IT: FR_GERICHTE 102 2024 192 del 28 novembre 2024</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begründete Entscheid wurde dem Beschwerdeführer am 17. Oktober 2024 zugestellt (vgl. die Akten der Zivilgerichtspräsidentin), so dass die am 28. Oktober 2024 der Post übergebene Beschwerde fristgerecht erfolgte.</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5</w:t>
      </w:r>
    </w:p>
    <w:p>
      <w:r>
        <w:rPr>
          <w:b/>
        </w:rPr>
        <w:t>E. 2</w:t>
      </w:r>
    </w:p>
    <w:p>
      <w:r>
        <w:t>Der Beschwerdeführer rügt, er müsse sich gemäss Rechtsmittelbelehrung ans Kantonsgericht wenden, welches selber Partei sei, womit jegliche Objektivität grundsätzlich ausgeschlossen sei. Bei der in Betreibung gesetzten Forderung handelt es sich um Verfahrenskosten, welche dem Beschwerdeführer vom Kantonsgericht im Urteil 604 2023 45, 46 und 47 vom 20. Juni 2023 auferlegt worden sind. Die kantonalen Gerichte sind Organe des Staates und die Forderung aus den urteils- oder verfügungsmässig auferlegten Kosten stehen dem Kanton zu. Wer mit dem Inkasso dieser Forderungen betraut ist, regeln die Kantone autonom (Urteil BGer 5D_21/2008 vom 16. April 2018 E. 2). Die Gerichte sind unbesehen der Tatsache, dass sie Organe des Staates und ein Teil der staatlichen Gewalt sind, institutionell und organisatorisch von diesem unabhängig und in ihrer Entscheidung allein dem Recht verpflichtet. Die zwangsläufige Einbindung der Gerichte in die staatliche Hand- lungs- und Wirkungseinheit ist systemimmanent und vermag ihre Unabhängigkeit nach dem Gesag- ten nicht in Frage zu stellen, insbesondere auch dann nicht, wenn sie Ansprüche des eigenen Kantons oder gegen diesen gerichtete Ansprüche zu beurteilen haben. Daran vermag schliesslich der Umstand nichts zu ändern, dass als Inkassomandatar für die Forderung des Kantons das Kantonsgericht selber auftritt (vgl. Urteil BGer 5A_586/2008 vom 22. Oktober 2008 E. 2; siehe auch Urteile KG FR 102 2018 145 vom 13. Februar 2019 E. 1.2; 102 2019 292 vom 20. Dezember 2019 E. 1). Dem Gesagten zu Folge ist nicht zu beanstanden, wenn das Kantonsgericht für die auferlegten Gerichtskosten aus Verfahren, die seinerzeit vor ihm hängig gewesen sind, als Inkassomandatarin des Kantons auftritt. Die Rüge des Beschwerdeführers ist somit abzuweisen.</w:t>
      </w:r>
    </w:p>
    <w:p>
      <w:r>
        <w:rPr>
          <w:b/>
        </w:rPr>
        <w:t>E. 3</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2020 115 vom 14. Juli 2020 E. 2; 102 2021 117 vom 2. August 2021 E. 2.1; BGE 138 III 374 E. 4.3.1). Der Beschwerdeführer äussert seinen grossen Missmut gegenüber dem Staat und den Gerichtsbe- hörden, welchen ihn in die Altersarmut getrieben hätten. Mit den Ausführungen der Vorinstanz zur Sache, nämlich dass ein Rechtsöffnungstitel vorliegt und keine Einwendungen für die Tilgung oder Stundung der Schuld vorgebracht wurden, setzt sich der Beschwerdeführer nicht ansatzweise auseinander. Er führt nicht aus, an welchen Mängeln der angefochtene Entscheid leiden würde und zeigt auch nicht auf, inwiefern die Vorinstanz das Recht verletzt hat oder weshalb die Sachverhalts- feststellung unrichtig ist. Seine Ausführungen erfüllen die Anforderungen an den Inhalt bzw. die Begründung einer Beschwer- de auch bei grosszügiger Auslegung nicht, weshalb darauf nicht eingetreten werden kann.</w:t>
      </w:r>
    </w:p>
    <w:p>
      <w:r>
        <w:t>Kantonsgericht KG Seite 4 von 5</w:t>
      </w:r>
    </w:p>
    <w:p>
      <w:r>
        <w:rPr>
          <w:b/>
        </w:rPr>
        <w:t>E. 4.1</w:t>
      </w:r>
    </w:p>
    <w:p>
      <w:r>
        <w:t>Gemäss Art. 117 ZPO hat Anspruch auf unentgeltliche Rechtspflege, wer nicht über die notwendigen Mittel verfügt und wessen Rechtsbegehren nicht aussichtslos erscheint. Die gesuch- stellende Person hat ihre Einkommens- und Vermögensverhältnisse darzulegen und sich zur Sache sowie über ihre Beweismittel zu äussern (Art. 119 Abs. 2 ZPO). Es trifft sie eine umfassende Mitwir- kungsobliegenheit (Urteil BGer 4A_333/2022 vom 9. November 2022 E. 11.1, nicht publiziert in BGE 149 III 67). Art. 119 Abs. 2 ZPO setzt voraus, dass die von den Ansprechern eingegebenen Belege umfassend Aufschluss über die Einkommens- und Vermögensverhältnisse sowie sämtliche finanzi- ellen Verpflichtungen geben (BGE 149 III 67 E. 11.4.1). Das Gericht hat den Sachverhalt immerhin dort weiter abzuklären, wo Unsicherheiten und Unklarheiten bestehen, und es hat allenfalls unbe- holfene Rechtsuchende auf die Angaben hinzuweisen, die es zur Beurteilung des Gesuchs benötigt (Urteile BGer 4A_667/2015 vom 22. Januar 2016 E. 3.2; 5A_502/2017 vom 15. August 2017 E. 3.2; je mit Hinweis). Von einer Nachfrage kann unter anderem dann abgesehen werden, wenn einem Gesuchsteller aus einem früheren Verfahren bekannt war, dass er seine finanziellen Verhältnisse umfassend offen- und belegen muss, und er dies später unterlässt. Dies entspricht dem Grundsatz, dass die richterliche Fragepflicht weder die zumutbare Mitwirkung der Parteien bei der Feststellung des Sachverhalts ersetzen noch prozessuale Nachlässigkeiten ausgleichen soll (Urteil BGer 4A_622/2020 vom 5. Februar 2021 E. 2.4 m.H.).</w:t>
      </w:r>
    </w:p>
    <w:p>
      <w:r>
        <w:rPr>
          <w:b/>
        </w:rPr>
        <w:t>E. 4.2</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 bend sind (BGE 139 III 475 E. 2.2).</w:t>
      </w:r>
    </w:p>
    <w:p>
      <w:r>
        <w:rPr>
          <w:b/>
        </w:rPr>
        <w:t>E. 4.3</w:t>
      </w:r>
    </w:p>
    <w:p>
      <w:r>
        <w:t>Der Beschwerdeführer begnügt sich damit, zu erklären, er habe laut Gesetz Anspruch auf unentgeltliche Rechtspflege und verlange diese bedingungslos. Er reichte aber keine Belege zu seiner Einkommens- und Vermögenssituation oder zu seinen finanziellen Verpflichtungen ein, so dass festzustellen ist, dass der Beschwerdeführer seiner Mitwirkungsobliegenheit nicht nachgekom- men ist und seine aktuellen finanziellen Verhältnisse in keiner Weise darlegt, obwohl ihm die diesbe- züglichen Anforderungen aus einem früheren Verfahren (vgl. Urteil KG FR 102 2016 168 vom 3. März 2017 E. 5) bekannt sind. Eine Nachfrist ist folglich nicht anzusetzen. Bereits aus diesem Grund ist das Gesuch um unentgeltliche Rechtspflege abzuweisen. Im Übrigen hätte eine Partei, die über die nötigen Mittel verfügt, sich bei vernünftiger Überlegung nicht zum Prozess entschlossen und die Beschwerde ist somit als aussichtslos zu bezeichnen. Das Gesuch um unentgeltliche Rechtspflege ist daher auch aus diesem Grund abzuweisen.</w:t>
      </w:r>
    </w:p>
    <w:p>
      <w:r>
        <w:rPr>
          <w:b/>
        </w:rPr>
        <w:t>E. 5</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w:t>
      </w:r>
    </w:p>
    <w:p>
      <w:r>
        <w:t>Kantonsgericht KG Seite 5 von 5 kosten sind namentlich in Berücksichtigung der in Betreibung gesetzten Summe auf pauschal CHF 100.- festzusetzen (Art. 48 und 61 Abs. 1 GebV SchKG). Es wurde gemäss Art. 322 ZPO keine Vernehmlassung eingeholt und der Gegenpartei sind keine weiteren Umstände entstanden; es ist somit keine Parteientschädigung auszurichten. Der Hof erkennt: I. Auf die Beschwerde wird nicht eingetreten. II. Das Gesuch um unentgeltliche Rechtspflege wird abgewiesen. III. Die Prozesskosten des Beschwerdeverfahrens werden A.________ auferlegt. Die Gerichtskosten werden auf CHF 100.- festgesetzt. Es werden keine Parteientschädigungen ausgerichtet. IV.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28. November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