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170 vom 22. Oktober 2024</w:t>
      </w:r>
    </w:p>
    <w:p>
      <w:r>
        <w:t>FR Kantonsgericht, 2024-10-22, FR</w:t>
      </w:r>
    </w:p>
    <w:p>
      <w:r>
        <w:rPr>
          <w:b/>
        </w:rPr>
        <w:t xml:space="preserve">Quelle: </w:t>
      </w:r>
      <w:r>
        <w:t>https://mcp.opencaselaw.ch/entscheid/fr_gerichte_102_2024_170</w:t>
      </w:r>
    </w:p>
    <w:p>
      <w:r>
        <w:t>FR: FR_GERICHTE 102 2024 170 du 22 octobre 2024</w:t>
      </w:r>
    </w:p>
    <w:p>
      <w:r>
        <w:t>IT: FR_GERICHTE 102 2024 170 del 22 ottobre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26 septembre 2024, si bien que le recours remis au greffe du Tribunal cantonal le 4 octobre 2024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 Les pièces produites, antérieures au jugement de première instance, sont recevables.</w:t>
      </w:r>
    </w:p>
    <w:p>
      <w:r>
        <w:rPr>
          <w:b/>
        </w:rPr>
        <w:t>E. 1.3</w:t>
      </w:r>
    </w:p>
    <w:p>
      <w:r>
        <w:t>En application de l'art. 327 al. 2 CPC, la Cour d'appel peut statuer sur pièces, sans tenir audience.</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w:t>
      </w:r>
    </w:p>
    <w:p>
      <w:r>
        <w:rPr>
          <w:b/>
        </w:rPr>
        <w:t>E. 2.2</w:t>
      </w:r>
    </w:p>
    <w:p>
      <w:r>
        <w:t>La recourante conteste l'existence de la créance fondant la poursuite no ccc au motif qu'elle n'est pas la débitrice de l'intimée. Toutefois, le juge de la faillite, à l'instar du juge de la mainlevée,</w:t>
      </w:r>
    </w:p>
    <w:p>
      <w:r>
        <w:t>Tribunal cantonal TC Page 3 de 4 n'est pas compétent pour statuer sur ce point, mais il doit limiter son examen à la question de savoir si un motif de refus de prononcer la faillite au sens des art. 173 ss LP est réalisé en l'espèce. Par conséquent, les développements de la recourante au sujet de l'existence de la créance doivent être écartés.</w:t>
      </w:r>
    </w:p>
    <w:p>
      <w:r>
        <w:rPr>
          <w:b/>
        </w:rPr>
        <w:t>E. 2.3</w:t>
      </w:r>
    </w:p>
    <w:p>
      <w:r>
        <w:t>La recourante a produit des pièces au sujet des versements bancaires adressées à l'intimée. Les montants versés totalisent CHF 2'200.-. Ils ne couvrent toutefois pas le montant figurant dans la commination de faillite qui s'élève à CHF 15'000.-. En outre, le solde n'a pas été versé au greffe durant le délai de recours et l'intimé n'a pas retiré sa réquisition de faillite. Enfin, la recourante n'a produit aucune pièce au sujet de sa solvabilité.</w:t>
      </w:r>
    </w:p>
    <w:p>
      <w:r>
        <w:rPr>
          <w:b/>
        </w:rPr>
        <w:t>E. 2.4</w:t>
      </w:r>
    </w:p>
    <w:p>
      <w:r>
        <w:t>Compte tenu de ce qui précède, aucune des conditions de l’art. 174 al. 2 LP n’est remplie en l’espèce, de sorte que le recours, manifestement infondé, doit être rejeté sans échange d'écritures (art. 322 al. 1 CPC).</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L'intimée n'ayant pas été invitée à se déterminer sur le recours, il n'y a pas lieu de lui allouer des dépens. la Cour arrête : I. Le recours est rejeté. Partant, la décision du Président du Tribunal civil de l'arrondissement de la Sarine du 23 septembre 2024 est confirmée. II. Les frais de procédure, arrêtés à CHF 500.-, sont mis à la charge de A.________ Sàrl en liquidation.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4 de 4 Fribourg, le 22 octobre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