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166 vom 31. Januar 2025</w:t>
      </w:r>
    </w:p>
    <w:p>
      <w:r>
        <w:t>FR Kantonsgericht, 2025-01-31, FR</w:t>
      </w:r>
    </w:p>
    <w:p>
      <w:r>
        <w:rPr>
          <w:b/>
        </w:rPr>
        <w:t xml:space="preserve">Quelle: </w:t>
      </w:r>
      <w:r>
        <w:t>https://mcp.opencaselaw.ch/entscheid/fr_gerichte_102_2024_166</w:t>
      </w:r>
    </w:p>
    <w:p>
      <w:r>
        <w:t>FR: FR_GERICHTE 102 2024 166 du 31 janvier 2025</w:t>
      </w:r>
    </w:p>
    <w:p>
      <w:r>
        <w:t>IT: FR_GERICHTE 102 2024 166 del 31 gennaio 2025</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y compris pour son complément du 3 octobre 2024. La cognition de la Cour d’appel est pleine et entière en droit ;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et 113 ss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En l’espèce, la recourante a produit, pour la première fois en procédure de recours, les pièces 7 à 10. La question de savoir si ces pièces sont recevables en procédure de recours peut demeurer ouverte dès lors qu’elles ne sont pas pertinentes pour trancher la présente cause.</w:t>
      </w:r>
    </w:p>
    <w:p>
      <w:r>
        <w:rPr>
          <w:b/>
        </w:rPr>
        <w:t>E. 1.4</w:t>
      </w:r>
    </w:p>
    <w:p>
      <w:r>
        <w:t>Conformément à l'art. 327 al. 2 CPC, la Cour statue sans débats.</w:t>
      </w:r>
    </w:p>
    <w:p>
      <w:r>
        <w:rPr>
          <w:b/>
        </w:rPr>
        <w:t>E. 2.1</w:t>
      </w:r>
    </w:p>
    <w:p>
      <w:r>
        <w:t>La recourante se plaint d’une violation de son droit d’être entendue, des règles de la bonne foi en procédure et de l’interdiction de l’arbitraire dans la mesure où elle n’a pas pu se déterminer sur la requête de mainlevée et produire les éléments permettant de rendre vraisemblable sa libération. En substance, elle fait valoir une erreur commise par la Poste lors de la notification de la prolongation de délai et reproche au premier juge de ne lui avoir accordé qu’une seule prolongation de 20 jours alors qu’elle avait annoncé être hospitalisée. De son côté, l’intimée estime que la prolongation de délai a été valablement notifiée à l’opposante et qu’il peut lui être fait grief de ne pas s’être déterminée sur la requête de mainlevée dans le délai imparti. Elle considère également qu’on ne peut reprocher au Président de n’avoir octroyé qu’une seule prolongation de délai à l’opposante dès lors qu’une détermination aurait pu être déposée par l’étude D.________ qui la représentait depuis plusieurs mois.</w:t>
      </w:r>
    </w:p>
    <w:p>
      <w:r>
        <w:rPr>
          <w:b/>
        </w:rPr>
        <w:t>E. 2.2</w:t>
      </w:r>
    </w:p>
    <w:p>
      <w:r>
        <w:t>Il n’est pas nécessaire d’examiner si une erreur a été commise par la Poste lors de la notification. En effet, la question doit être abordée sous un autre angle. En l’espèce, dans le délai pour déposer une détermination sur la requête de mainlevée, octroyé par le Président et échéant au</w:t>
      </w:r>
    </w:p>
    <w:p>
      <w:r>
        <w:rPr>
          <w:b/>
        </w:rPr>
        <w:t>E. 5</w:t>
      </w:r>
    </w:p>
    <w:p>
      <w:r>
        <w:t>septembre 2024 est annulée. La cause est renvoyée au Président afin qu’il impartisse un nouveau délai à A.________ pour se déterminer sur la requête de mainlevée provisoire du 20 juin 2024 de B.________ SA et pour suite de la procédure. II. Les frais de la procédure de recours sont mis à la charge de B.________ SA. Les frais judiciaires dus à l’Etat, fixés forfaitairement à CHF 400.-, sont prélevés sur l’avance de frais du même montant effectuée par A.________ qui a droit à son remboursement par B.________ SA. Il est alloué à A.________, à la charge de B.________ SA, une indemnité de CHF 540.50, TVA par CHF 40.50.-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31 janvier 2025/say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