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137 vom 24. September 2024</w:t>
      </w:r>
    </w:p>
    <w:p>
      <w:r>
        <w:t>FR Kantonsgericht, 2024-09-24, FR</w:t>
      </w:r>
    </w:p>
    <w:p>
      <w:r>
        <w:rPr>
          <w:b/>
        </w:rPr>
        <w:t xml:space="preserve">Quelle: </w:t>
      </w:r>
      <w:r>
        <w:t>https://mcp.opencaselaw.ch/entscheid/fr_gerichte_102_2024_137</w:t>
      </w:r>
    </w:p>
    <w:p>
      <w:r>
        <w:t>FR: FR_GERICHTE 102 2024 137 du 24 septembre 2024</w:t>
      </w:r>
    </w:p>
    <w:p>
      <w:r>
        <w:t>IT: FR_GERICHTE 102 2024 137 del 24 settembre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Ce n’est qu’au stade du recours que la recourante a produit des conventions de produit ainsi qu'un décompte d'intérêts provisoire arrêté au 3 juin 2024, documents qui prouvent à son avis les taux d'intérêt applicables. Ces nouveaux moyen de preuve, tardifs au regard de l’art. 326 al. 1 CPC, sont irrecevables et il n’en sera dès lors pas tenu compte.</w:t>
      </w:r>
    </w:p>
    <w:p>
      <w:r>
        <w:t>Tribunal cantonal TC Page 3 de 4</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2.1.1</w:t>
      </w:r>
    </w:p>
    <w:p>
      <w:r>
        <w:t>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La procédure de mainlevée d’opposition est soumise à la maxime des débats (art. 55 CPC, art. 255 CPC a contrario) qui prévoit que le juge ne peut tenir compte dans son jugement des faits qui ne sont pas allégués ni prouvés. La partie demanderesse doit ainsi exposer les faits et moyens de preuve qui fondent son action (ATF 144 III 552 consid. 4.1.3).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Un contrat écrit justifie en principe la mainlevée provisoire de l'opposition pour la somme d'argent incombant au poursuivi lorsque les conditions d'exigibilité de la dette sont établies (ATF 145 Ill 20 consid. 4.1.1).</w:t>
      </w:r>
    </w:p>
    <w:p>
      <w:r>
        <w:rPr>
          <w:b/>
        </w:rPr>
        <w:t>E. 2.2</w:t>
      </w:r>
    </w:p>
    <w:p>
      <w:r>
        <w:t>En l’espèce, comme l’a justement constaté le premier juge, la requérante n’a produit aucune pièce établissant les taux d'intérêts applicables aux créances de CHF 100'000.- et CHF 142'400.- invoquées dans la requête de mainlevée et dans le courrier de résiliation anticipée. Faute de moyen de preuve idoine, la mainlevée ne pouvait donc être accordée sur ce point et le recours, manifestement mal fondé, doit être rejeté.</w:t>
      </w:r>
    </w:p>
    <w:p>
      <w:r>
        <w:rPr>
          <w:b/>
        </w:rPr>
        <w:t>E. 3</w:t>
      </w:r>
    </w:p>
    <w:p>
      <w:r>
        <w:t>Selon l’art. 106 al. 1 CPC, les frais sont mis à la charge de la partie succombante. En l’espèce, le recours est rejeté. Dans ces circonstances, les frais judiciaires de la procédure de recours, fixés à CHF 150.- (art. 48 al. 1 et 61 al. 1 de l'ordonnance du 23 septembre 1996 sur les émoluments perçus en application de la loi fédérale sur la poursuite pour dettes et la faillite, RS 281.35), sont mis à la charge de la recourante et compensés avec l'avance de frais versée. Pour les mêmes raisons, il ne lui sera pas alloué de dépens. Il n’est pas alloué de dépens à l’intimé qui n’a pas été invité à se déterminer sur le recours.</w:t>
      </w:r>
    </w:p>
    <w:p>
      <w:r>
        <w:t>Tribunal cantonal TC Page 4 de 4 la Cour arrête : I. Le recours est rejeté. Partant, la décision de la Présidente du Tribunal civil de l'arrondissement de la Gruyère du 16 août 2024 est confirmée. II. Les frais de la procédure de recours sont fixés à CHF 150.- et mis à la charge de A.________.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24 septembre 2024/dbe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