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135 vom 3. September 2024</w:t>
      </w:r>
    </w:p>
    <w:p>
      <w:r>
        <w:t>FR Kantonsgericht, 2024-09-03, FR</w:t>
      </w:r>
    </w:p>
    <w:p>
      <w:r>
        <w:rPr>
          <w:b/>
        </w:rPr>
        <w:t xml:space="preserve">Quelle: </w:t>
      </w:r>
      <w:r>
        <w:t>https://mcp.opencaselaw.ch/entscheid/fr_gerichte_102_2024_135</w:t>
      </w:r>
    </w:p>
    <w:p>
      <w:r>
        <w:t>FR: FR_GERICHTE 102 2024 135 du 3 septembre 2024</w:t>
      </w:r>
    </w:p>
    <w:p>
      <w:r>
        <w:t>IT: FR_GERICHTE 102 2024 135 del 3 settembre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8 août 2024, si bien que le recours remis à la Poste le 14 août 2024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 il n'appartient pas à l'autorité de recours de rechercher d'office des moyens de preuve idoines (cf. arrêt TF 5A_912/2013 du 18 février 2014 consid. 3; arrêt TC FR du 23 février 1999 in RFJ 1999 82).</w:t>
      </w:r>
    </w:p>
    <w:p>
      <w:r>
        <w:rPr>
          <w:b/>
        </w:rPr>
        <w:t>E. 2.2</w:t>
      </w:r>
    </w:p>
    <w:p>
      <w:r>
        <w:t>L’administrateur de la recourante allègue qu'il conteste les décomptes relatifs à la LPP et la TVA. Il admet qu’il y a eu des négligences administratives de sa part dues à ses problèmes de santé. Il s’est engagé à payer la totalité des poursuites en cours jusqu’au 20 août 2024 et de transmettre tous les documents à sa fiduciaire pour remplir les décomptes LPP et TVA.</w:t>
      </w:r>
    </w:p>
    <w:p>
      <w:r>
        <w:rPr>
          <w:b/>
        </w:rPr>
        <w:t>E. 2.3</w:t>
      </w:r>
    </w:p>
    <w:p>
      <w:r>
        <w:t>La Cour constate que la recourante n'a pas établi par titre que, dans le délai de recours, elle a réglé entièrement la poursuite à la base de la requête de faillite, qu'elle a effectué un dépôt de faillite auprès du greffe du Tribunal cantonal dans le délai de recours et que la créancière a retiré sa réquisition de faillite. Par conséquent, le recours doit être rejeté, la première condition cumulative exigée par l'art. 174 al. 2 LP n’étant déjà pas remplie.</w:t>
      </w:r>
    </w:p>
    <w:p>
      <w:r>
        <w:t>Tribunal cantonal TC Page 3 de 4 Au demeurant, la recourante n’a pas rendu sa solvabilité vraisemblable. Elle n’a pas rendu vraisemblable l’existence de disponibilités en liquidités objectivement suffisantes pour payer sa créance, faire face aux autres prétentions exigibles et poursuivre son activité, en produisant des extraits de comptes bancaires par exemple. Elle admet d’ailleurs qu’elle n’a réalisé aucun chiffre d’affaires pour l’année 2024. Le seul fait de contester les décomptes ou la taxation d’office n’y change rien et ne fait pas objet de la présente procédure. Ainsi, la deuxième condition de l’art. 174 al. 2 LP n’est pas non plus réalisée.</w:t>
      </w:r>
    </w:p>
    <w:p>
      <w:r>
        <w:rPr>
          <w:b/>
        </w:rPr>
        <w:t>E. 2.4</w:t>
      </w:r>
    </w:p>
    <w:p>
      <w:r>
        <w:t>Compte tenu de ce qui précède, aucune des conditions de l’art. 174 al. 2 LP n’est remplie en l’espèce, de sorte que le recours, manifestement infondé, doit être rejeté sans échange d'écritures (art. 322 al. 1 CPC).</w:t>
      </w:r>
    </w:p>
    <w:p>
      <w:r>
        <w:rPr>
          <w:b/>
        </w:rPr>
        <w:t>E. 3</w:t>
      </w:r>
    </w:p>
    <w:p>
      <w:r>
        <w:t>Dans la mesure où la recourante entend requérir l'effet suspensif en demandant de suspendre cette mise en faillite, cette requête est sans objet avec la décision au fond.</w:t>
      </w:r>
    </w:p>
    <w:p>
      <w:r>
        <w:rPr>
          <w:b/>
        </w:rPr>
        <w:t>E. 4</w:t>
      </w:r>
    </w:p>
    <w:p>
      <w:r>
        <w:t>L'attention de la recourante est attirée sur la possibilité d'obtenir la révocation de la faillite aux conditions de l'art. 195 LP.</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(dispositif en page suivante)</w:t>
      </w:r>
    </w:p>
    <w:p>
      <w:r>
        <w:t>Tribunal cantonal TC Page 4 de 4 la Cour arrête : I. Le recours est rejeté. Partant, la décision de faillite rendue le 6 août 2024 (cause no eee) par le Président du Tribunal civil de l'arrondissement de la Broye est confirmée. II. Les frais judiciaires de la procédure de recours, fixés à CHF 500.-, sont mis à la charge de A.________ Sàrl en liquidation.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septembre 2024/mdu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