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102 vom 9. Juli 2024</w:t>
      </w:r>
    </w:p>
    <w:p>
      <w:r>
        <w:t>FR Kantonsgericht, 2024-07-09, DE</w:t>
      </w:r>
    </w:p>
    <w:p>
      <w:r>
        <w:rPr>
          <w:b/>
        </w:rPr>
        <w:t xml:space="preserve">Quelle: </w:t>
      </w:r>
      <w:r>
        <w:t>https://mcp.opencaselaw.ch/entscheid/fr_gerichte_102_2024_102</w:t>
      </w:r>
    </w:p>
    <w:p>
      <w:r>
        <w:t>FR: FR_GERICHTE 102 2024 102 du 9 juillet 2024</w:t>
      </w:r>
    </w:p>
    <w:p>
      <w:r>
        <w:t>IT: FR_GERICHTE 102 2024 102 del 9 luglio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23. Mai 2024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der Beschwerdeführerin am 29. Mai 2024 zugestellt (vgl. Akten der Zivilgerichtspräsidentin). Somit erfolgte die am 30. Mai 2024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 Die Beschwerdeführerin hat mit ihrer Beschwerde verschiedene Schriftstücke eingereicht, um ihr Eigentum an der Liegenschaft und insbesondere das Mietverhältnis zwischen den Parteien und damit einen provisorischen Rechtsöffnungstitel zu belegen. Da diese Unterlagen nicht bereits der Rechtsöffnungsrichterin vorgelegt wurden, können diese als neue Beweismittel im Beschwerdever- fahren nicht berücksichtigt werden. Dies gilt ebenso für die in diesem Zusammenhang vorgebrachten neuen Tatsachen, welche nicht bereits im Rechtsöffnungsverfahren vor der Vorinstanz vorgebracht wurden.</w:t>
      </w:r>
    </w:p>
    <w:p>
      <w:r>
        <w:t>Kantonsgericht KG Seite 3 von 4</w:t>
      </w:r>
    </w:p>
    <w:p>
      <w:r>
        <w:rPr>
          <w:b/>
        </w:rPr>
        <w:t>E. 1.6</w:t>
      </w:r>
    </w:p>
    <w:p>
      <w:r>
        <w:t>Über eine Beschwerde kann aufgrund der Akten entschieden werden (Art. 327 Abs. 2 ZPO).</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Die Beschwerdeführerin bringt in ihrer Eingabe lediglich neue Tatsachen zu den neu eingereichten Beweismitteln vor. Damit will sie die Begründung der Vorinstanz, es liege keine Schuldanerkennung im Sinne von Art. 82 Abs. 1 SchKG vor, widerlegen. Wie vorstehend ausgeführt, können diese neuen Tatsachen und Beweismittel im Beschwerdeverfahren aber eben nicht berücksichtigt werden. Davon abgesehen fehlt der Beschwerde jegliche massgebende Begründung. Die Beschwerdeführerin führt in keiner Weise aus, an welchen Mängeln der angefochtene Entscheid leiden würde. Sie zeigt auch nicht auf, inwiefern die Vorinstanz das Recht verletzt hat oder weshalb die Sachverhaltsfeststellung unrichtig ist. Die am 30. Mai 2024 eingereichte Beschwerde erfüllt die Anforderungen an den Inhalt bzw. die Begründung einer Beschwerdeschrift selbst bei grosszügiger Auslegung und Handhabung nicht, so dass darauf nicht einzutreten ist.</w:t>
      </w:r>
    </w:p>
    <w:p>
      <w:r>
        <w:rPr>
          <w:b/>
        </w:rPr>
        <w:t>E. 3</w:t>
      </w:r>
    </w:p>
    <w:p>
      <w:r>
        <w:t>Die Prozesskosten, bestehend aus Gerichtskosten und Parteientschädigung, werden der unterlie- genden Partei auferlegt (Art. 95 Abs. 1 Bst. a und b, 106 Abs. 1 ZPO). Die Beschwerdeführerin ist mit ihren Anträgen nicht durchgedrungen und hat daher die Prozesskosten zu tragen. Die Gerichts- kosten sind namentlich in Berücksichtigung der in Betreibung gesetzten Summe auf pauschal CHF 450.- festzusetzen (Art. 48 und 61 Abs. 1 GebV SchKG). Sie werden vom geleisteten Kosten- vorschuss bezogen. Es wurde gemäss Art. 322 ZPO keine Vernehmlassung eingeholt und der Gegenpartei sind keine weiteren Umstände entstanden; es ist somit keine Parteientschädigung auszurichten. (Dispositiv auf nachfolgender Seite)</w:t>
      </w:r>
    </w:p>
    <w:p>
      <w:r>
        <w:t>Kantonsgericht KG Seite 4 von 4 Der Hof erkennt: I. Auf die Beschwerde wird nicht eingetreten. II. Die Prozesskosten des Beschwerdeverfahrens werden der A.________ Sàrl auferlegt. Die Gerichtskosten des Beschwerdeverfahrens werden auf CHF 450.-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9. Juli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