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91 vom 7. Juli 2023</w:t>
      </w:r>
    </w:p>
    <w:p>
      <w:r>
        <w:t>FR Kantonsgericht, 2023-07-07, FR</w:t>
      </w:r>
    </w:p>
    <w:p>
      <w:r>
        <w:rPr>
          <w:b/>
        </w:rPr>
        <w:t xml:space="preserve">Quelle: </w:t>
      </w:r>
      <w:r>
        <w:t>https://mcp.opencaselaw.ch/entscheid/fr_gerichte_102_2023_91</w:t>
      </w:r>
    </w:p>
    <w:p>
      <w:r>
        <w:t>FR: FR_GERICHTE 102 2023 91 du 7 juillet 2023</w:t>
      </w:r>
    </w:p>
    <w:p>
      <w:r>
        <w:t>IT: FR_GERICHTE 102 2023 91 del 7 luglio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supérieure à CHF 30'000.-, si bien que la voie du recours en matière civile au Tribunal fédéral est ouverte (cf. art. 51 al. 1 let. a art. 74 al. 1 let. b LTF).</w:t>
      </w:r>
    </w:p>
    <w:p>
      <w:r>
        <w:rPr>
          <w:b/>
        </w:rPr>
        <w:t>E. 2.1</w:t>
      </w:r>
    </w:p>
    <w:p>
      <w:r>
        <w:t>Aux termes des art. 80 et 81 LP, le juge doit prononcer la mainlevée définitive de l'opposition lorsque le créancier produit un jugement exécutoire ou un titre y assimilé, à moins que le débiteur</w:t>
      </w:r>
    </w:p>
    <w:p>
      <w:r>
        <w:t>Tribunal cantonal TC Page 3 de 4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En l’espèce, le créancier a produit un jugement rendu par la Cour d’appel civil du Tribunal cantonal du canton du Vaud le 29 septembre 2022 astreignant la recourante à lui verser les sommes de CHF 180'000.-, avec intérêt à 5 % l'an dès le 9 février 2016 (cf. dispositif ch. II./I.), de CHF 3'600.- à titre de dépens de première instance (cf. dispositif ch. II./IV.), ainsi que de CHF 6'000.- à titre de dépens de deuxième instance (cf. dispositif ch. IV.). La débitrice a interjeté un recours au Tribunal fédéral contre cet arrêt en date du 9 novembre 2022. Le recours au Tribunal fédéral n’a toutefois pas d’effet suspensif (art. 103 al. 1 LTF) et la requête d’effet suspensif déposée par la recourante a été rejetée, par ordonnance du 28 mars 2023 de la juge fédérale instructrice. Partant, l’arrêt du 29 septembre 2022 est exécutoire et constitue un titre de mainlevée définitive. De son côté, l’opposante n’a pas établi par titre avoir payé sa dette ou bénéficié d’un sursis, ni ne s’est prévalue de la prescription (art. 81 al. 1 LP). Elle ne conteste du reste pas l’existence d’un titre de mainlevée définitive. Partant, la mainlevée définitive doit être prononcée pour le montant ressortant du titre de mainlevée. Peu importe que le Tribunal fédéral devrait bientôt rendre une décision dans la cause au fond qui pourrait peut-être aller dans le sens inverse de celle de la Cour d’appel civil vaudoise. Il en va de même du fait que l’intimé n’aurait pas de risque financier en cas de non-paiement immédiat de la créance. La Juge fédérale instructrice n’a pas accordé l’effet suspensif au recours de sorte que le jugement valant titre de mainlevée est donc exécutoire et qu’il ne se justifie pas d’attendre l’issue finale de la procédure au fond. Partant, le recours doit être rejeté dans la mesure où il est mal fondé, la décision attaquée ne comportant en définitive aucune erreur, que ce soit dans l’application du droit et/ou dans sa justification en fait.</w:t>
      </w:r>
    </w:p>
    <w:p>
      <w:r>
        <w:rPr>
          <w:b/>
        </w:rPr>
        <w:t>E. 3</w:t>
      </w:r>
    </w:p>
    <w:p>
      <w:r>
        <w:t>Les frais de la procédure de recours sont mis à la charge de la recourante, qui succombe (art. 106 al. 1 CPC).</w:t>
      </w:r>
    </w:p>
    <w:p>
      <w:r>
        <w:rPr>
          <w:b/>
        </w:rPr>
        <w:t>E. 3.1</w:t>
      </w:r>
    </w:p>
    <w:p>
      <w:r>
        <w:t>Ils comprennent les frais judiciaires, fixés forfaitairement à CHF 600.- (art. 48 et 61 al. 1 OELP), lesquels seront prélevés sur l’avance de frais versée par la recourante.</w:t>
      </w:r>
    </w:p>
    <w:p>
      <w:r>
        <w:t>Tribunal cantonal TC Page 4 de 4</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l’intimé pour la procédure de recours sont arrêtés globalement à la somme de CHF 1'077.-, TVA par CHF 77.- comprise. la Cour arrête : I. Le recours est rejeté. Partant, la décision de la Présidente du Tribunal civil de l’arrondissement de la Gruyère du 9 mai 2023 est confirmée. II. Les frais de la procédure de recours sont mis à la charge de A.________ SA. Les frais judiciaires sont fixés à CHF 600.-. Ils sont prélevés sur l’avance de frais versée le 9 juin 2023 par A.________ SA. Les dépens de B.________ sont fixés globalement à la somme de CHF 1'077.-, TVA par CHF 77.-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juillet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