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82 vom 20. Juni 2023</w:t>
      </w:r>
    </w:p>
    <w:p>
      <w:r>
        <w:t>FR Kantonsgericht, 2023-06-20, FR</w:t>
      </w:r>
    </w:p>
    <w:p>
      <w:r>
        <w:rPr>
          <w:b/>
        </w:rPr>
        <w:t xml:space="preserve">Quelle: </w:t>
      </w:r>
      <w:r>
        <w:t>https://mcp.opencaselaw.ch/entscheid/fr_gerichte_102_2023_82</w:t>
      </w:r>
    </w:p>
    <w:p>
      <w:r>
        <w:t>FR: FR_GERICHTE 102 2023 82 du 20 juin 2023</w:t>
      </w:r>
    </w:p>
    <w:p>
      <w:r>
        <w:t>IT: FR_GERICHTE 102 2023 82 del 20 giugno 2023</w:t>
      </w:r>
    </w:p>
    <w:p>
      <w:pPr>
        <w:pStyle w:val="Heading2"/>
      </w:pPr>
      <w:r>
        <w:t>Regeste</w:t>
      </w:r>
    </w:p>
    <w:p>
      <w:r>
        <w:t>Arrêt de la IIe Cour d'appel civil du Tribunal cantonal | Rechtsöffnung</w:t>
      </w:r>
    </w:p>
    <w:p>
      <w:pPr>
        <w:pStyle w:val="Heading2"/>
      </w:pPr>
      <w:r>
        <w:t>Erwägungen</w:t>
      </w:r>
    </w:p>
    <w:p>
      <w:r>
        <w:rPr>
          <w:b/>
        </w:rPr>
        <w:t>E. 23</w:t>
      </w:r>
    </w:p>
    <w:p>
      <w:r>
        <w:t>janvier 2023, et frais de poursuite, ayant comme cause le « non-respect du contrat de reprise – D.________ pour 01.01.2023 ». Il a mis les frais judiciaires à la charge du requérant et alloué une indemnité équitable à titre de dépens de CHF 1'500.- à l’opposant à la charge du requérant. B. Par courrier du 15 mai 2023, adressé par erreur au Président qui l’a transmis à la Cour pour objet de sa compétence, A.________ a interjeté un recours contre cette décision, concluant à l’admission de sa requête de mainlevée et à l’octroi d’une équitable indemnité, frais à la charge de l’intimé. C. Par mémoire du 6 juin 2023, B.________ a déposé sa réponse au recours, concluant à son irrecevabilité, subsidiairement à son rejet, frais à la charge du recourant.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 1.2. La valeur litigieuse est supérieure à CHF 30'000.-, si bien que la voie du recours en matière civile au Tribunal fédéral est ouverte (cf. art. 51 al. 1 let. a art. 74 al. 1 let. b LTF).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Il en résulte que les nouveaux allégués et pièces produits par le recourant, au stade du recours, sont irrecevables, faute d'avoir été formulés en première instance. Partant, la Cour n’en tiendra pas compte.</w:t>
      </w:r>
    </w:p>
    <w:p>
      <w:r>
        <w:t>Tribunal cantonal TC Page 3 de 6 2. 2.1. 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est de constater que l’acte de recours ne contient aucune motivation idoine. En effet, en tant que l'argumentation du recourant consiste uniquement à opposer sa propre version des faits et appréciation des moyens de preuve à celles du premier juge, elle est purement appellatoire et, partant, irrecevable. Ce faisant, il n'expose pas en quoi le premier juge aurait eu tort de refuser de prononcer la mainlevée de l’opposition formée par le débiteur poursuivi, motif pris que le créancier poursuivant n’a pas démontré par titre la réalisation de la condition suspensive contenue dans la reconnaissance de dette invoquée comme titre de mainlevée provisoire. En définitive, le recourant ne formule aucune critique, ayant un minimum de consistance, à l'encontre du contenu de la décision querellée elle-même, ne remettant pas en cause la motivation du Président conformément au prescrit de l’art. 321 CPC. Il s’ensuit l’irrecevabilité du recours pour défaut de motivation. 3. Quand bien même il serait recevable, le recours devrait de toute façon être rejeté dans la mesure où il est manifestement mal fondé, la décision attaquée ne comportant en définitive aucune erreur, que ce soit dans l’application du droit et/ou dans sa justification en fait. 3.1. 3.1.1.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w:t>
      </w:r>
    </w:p>
    <w:p>
      <w:r>
        <w:t>Tribunal cantonal TC Page 4 de 6 Un contrat écrit justifie en principe la mainlevée provisoire de l'opposition pour la somme d'argent incombant au poursuivi lorsque les conditions d'exigibilité de la dette sont établies (ATF 145 III 20 consid. 4.1.1 ; arrêt TF 5A_465/2014 du 20 août 2014 consid. 7.2.1.2) et, en particulier dans les contrats bilatéraux, lorsque le poursuivant prouve avoir exécuté les prestations dont dépend l'exigibilité (ATF 145 III 20 précité ; arrêt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 moment de ce paiement (ATF 145 III 20 précité), c'est-à-dire s'il a exécuté ou offert d'exécuter sa propre prestation en rapport d'échange (ATF 116 III 72 ; arrêt TF 5A_326/2011 du 6 septembre 2011 consid. 3.3 [prêt]). Le juge de la mainlevée provisoire ne peut procéder qu'à l'interprétation objective du titre fondée sur le principe de la confiance (arrêt TF 5A_89/2019 du 1er mai 2019 consid. 5.1.3 ; arrêt TF 5A_867/2018 du 4 mars 2019 consid. 4.1.3). Il ne peut toutefois prendre en compte que les éléments intrinsèques au titre, à l'exclusion des éléments extrinsèques qui échappent à son pouvoir d'examen (ATF 145 III 20 consid. 4.3.3 ; arrêt TF 5A_89/2019 du 1er mai 2019 consid. 5.1.3 ; arrêt TF 5A_648/2018 du 25 février 2019 consid. 3.2.1 non destiné à la publication, et les références citées).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TF 5A_89/2019 du 1er mai 2019 consid. 5.1.3 ; arrêt TF 5A_735/2012 du 17 avril 2013 consid. 2 et la référence citée. 3.1.2. Si la prestation en argent promise dans une reconnaissance de dette est subordonnée à l'avènement d'une condition suspensive, il appartient au créancier d'établir par titre que la condition est réalisée ou devenue sans objet, à moins que cela ne soit notoire ou reconnu sans réserve par le débiteur (arrêt TF 5A_595/2021 du 14 janvier 2022 consid. 6.2.1). 3.2. En l’espèce, il n’est pas contesté que le contrat de « Reprise du bail no. eee-surface commerciale-Arcade D.________ et Contrat de vente Equipements et Installations D.________ » conclu entre A.________ et B.________ le 6 septembre 2022 constitue une reconnaissance de dette. Il contient toutefois une condition suspensive selon laquelle « F.________ SA doivent donner leur accord par écrite pour l’acceptation du transfert du bail pour le 1.01.2023. Dans le cas contraire, le contrat de vente est annulé sans aucune obligation des parties et la garantie de CHF 10.000 est remboursée par le vendeur de suite. ». De plus, il ressort de l’avenant de transfert au contrat de bail conclu entre G.________ SA et les parties (cf. bordereau de la réponse, pièce 3) que l’entrée en vigueur du transfert de bail entre les parties est subordonnée aux conditions suivantes (ch. 6 de l’avenant) : « a) Faisabilité technique et plus particulièrement électrique pour transformations nécessaires à l’activité du repreneur, b) Obtention et entrée en force de l’ensemble des autorisations administratives pour la réalisation des travaux correspondants et pour l’exploitation selon la nouvelle activité mentionnée au ch. 2 du présent avenant ». Il est en outre prévu que « si l’une des conditions n’est pas remplie, le transfert deviendra caduc et aucun dommage et intérêt ne pourra être réclamé au bailleur, le transférant demeurant alors titulaire du contrat de bail ». Or, à l’instar du premier juge, la Cour constate que l’intimé n’a pas été en mesure d’obtenir toutes les autorisations nécessaires à la création d’un système de ventilation adéquat pour l’utilisation des locaux, malgré les démarches qu’il a entreprises, ce dernier ayant reçu un préavis défavorable de la part de la ville C.________ ainsi que du SEn (cf. bordereau de la réponse, pièces 4 et 5). Le recourant ne prétend du reste pas le contraire.</w:t>
      </w:r>
    </w:p>
    <w:p>
      <w:r>
        <w:t>Tribunal cantonal TC Page 5 de 6 Ainsi, dans la mesure où les autorisations administratives pour la réalisation des travaux nécessaires à l’exploitation de la nouvelle activité n’ont pas pu être obtenues, les conditions suspensives contenues dans le contrat de reprise de bail et dans l’avenant ne sont pas réalisées de sorte que le contrat conclu entre les parties est caduc et qu’il ne saurait constituer une reconnaissance de dette et un titre de mainlevée. 4. 4.1. Les frais de la procédure de recours doivent être mis à la charge du recourant, qui succombe (art. 106 al. 1 CPC). Ils comprennent les frais judiciaires, fixés forfaitairement à CHF 500.- (art. 48 et 61 al. 1 OELP), qui seront prélevés sur l’avance du même montant effectuée le 31 mai 2023.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 pour la procédure de recours seront arrêtés globalement à la somme de CHF 538.50, TVA par CHF 38.50 comprise. (dispositif en page suivante)</w:t>
      </w:r>
    </w:p>
    <w:p>
      <w:r>
        <w:t>Tribunal cantonal TC Page 6 de 6 la Cour arrête : I. Le recours est irrecevable. II. Les frais de la procédure de recours sont mis à la charge de A.________. Les frais judiciaires, fixés forfaitairement à CHF 500.-, sont prélevés sur l’avance du même montant effectuée le 31 mai 2023. Les dépens de B.________ pour la procédure de recours sont fixés globalement à la somme de CHF 538.50, TVA par CHF 38.50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juin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