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79 vom 13. Juni 2023</w:t>
      </w:r>
    </w:p>
    <w:p>
      <w:r>
        <w:t>FR Kantonsgericht, 2023-06-13, FR</w:t>
      </w:r>
    </w:p>
    <w:p>
      <w:r>
        <w:rPr>
          <w:b/>
        </w:rPr>
        <w:t xml:space="preserve">Quelle: </w:t>
      </w:r>
      <w:r>
        <w:t>https://mcp.opencaselaw.ch/entscheid/fr_gerichte_102_2023_79</w:t>
      </w:r>
    </w:p>
    <w:p>
      <w:r>
        <w:t>FR: FR_GERICHTE 102 2023 79 du 13 juin 2023</w:t>
      </w:r>
    </w:p>
    <w:p>
      <w:r>
        <w:t>IT: FR_GERICHTE 102 2023 79 del 13 giugno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largement supérieure à CHF 30'000.-, si bien que la voie du recours en matière civile au Tribunal fédéral est ouverte, cas échéant (art. 74 al. 1 let. b LTF).</w:t>
      </w:r>
    </w:p>
    <w:p>
      <w:r>
        <w:rPr>
          <w:b/>
        </w:rPr>
        <w:t>E. 1.3</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et B.________ ne contient aucune motivation idoine, dès lors qu’ils se bornent pour l’essentiel à reformuler les mêmes moyens qu’en première instance déjà, respectivement à solliciter un délai pour s’adjoindre les services d’un avocat et produire de nouvelles pièces, ce qui n’est pas admissible. En tout état de cause, en tant que l'argumentation des intéressés consiste uniquement à opposer leur propre appréciation des moyens de preuve et leur version des faits à celles du premier</w:t>
      </w:r>
    </w:p>
    <w:p>
      <w:r>
        <w:t>Tribunal cantonal TC Page 3 de 5 juge, elle est purement appellatoire et, partant, irrecevable. Ce faisant, ils n'exposent pas en quoi le premier juge aurait eu tort de refuser de prononcer la mainlevée de l’opposition formée par la débitrice poursuivie, motif pris que les créanciers poursuivants n’ont pas démontré par titre la réalisation de la condition suspensive contenue dans la reconnaissance de dette invoquée comme titre de mainlevée provisoire. En définitive, les recourants ne formulent aucune critique, ayant un minimum de consistance, à l'encontre du contenu de la décision querellée elle-même, ne remettant pas en cause la motivation du Président conformément au prescrit de l’art. 321 CPC. Il s’ensuit l’irrecevabilité du recours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(ATF 145 III 20 consid. 4.1.1 ; arrêt TF 5A_465/2014 du 20 août 2014 consid. 7.2.1.2) et, en particulier dans les contrats bilatéraux, lorsque le poursuivant prouve avoir exécuté les prestations dont dépend l'exigibilité (ATF 145 III 20 précité ; arrêt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 moment de ce paiement (ATF 145 III 20 précité), c'est-à-dire s'il a exécuté ou offert d'exécuter sa propre prestation en rapport d'échange (ATF 116 III 72 ; arrêt TF 5A_326/2011 du 6 septembre 2011 consid. 3.3 [prêt]). Le juge de la mainlevée provisoire ne peut procéder qu'à l'interprétation objective du titre fondée sur le principe de la confiance (arrêt TF 5A_89/2019 du 1er mai 2019 consid. 5.1.3 ; arrêt TF 5A_867/2018 du 4 mars 2019 consid. 4.1.3). Il ne peut toutefois prendre en compte que les éléments intrinsèques au titre, à l'exclusion des éléments extrinsèques qui échappent à son pouvoir d'examen (ATF 145 III 20 consid. 4.3.3 ; arrêt TF 5A_89/2019 du 1er mai 2019 consid. 5.1.3 ; arrêt TF</w:t>
      </w:r>
    </w:p>
    <w:p>
      <w:r>
        <w:t>Tribunal cantonal TC Page 4 de 5 5A_648/2018 du 25 février 2019 consid. 3.2.1 non destiné à la publication, et les références citées).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TF 5A_89/2019 du 1er mai 2019 consid. 5.1.3 ; arrêt TF 5A_735/2012 du 17 avril 2013 consid. 2 et la référence citée.</w:t>
      </w:r>
    </w:p>
    <w:p>
      <w:r>
        <w:rPr>
          <w:b/>
        </w:rPr>
        <w:t>E. 3.2</w:t>
      </w:r>
    </w:p>
    <w:p>
      <w:r>
        <w:t>Si la prestation en argent promise dans une reconnaissance de dette est subordonnée à l’avènement d’une condition suspensive, cet avènement doit être rendu vraisemblable, à moins que le débiteur ne le conteste pas. C’est au créancier d’établir par pièces l’exigibilité de la prestation à la date de la notification du commandement de payer (arrêt TF 5A_785/2016 du 2 février 2017 consid. 3.2.2 ; arrêt TF 5A_303/2013 du 24 septembre 2013 consid. 4.2). Le contrat écrit stipulant une peine conventionnelle (art. 160 CO) constitue, avec la preuve de l’inexécution de la prestation promise, une reconnaissance de dette (arrêt TF 5A_867/ 2018 du</w:t>
      </w:r>
    </w:p>
    <w:p>
      <w:r>
        <w:rPr>
          <w:b/>
        </w:rPr>
        <w:t>E. 3.3</w:t>
      </w:r>
    </w:p>
    <w:p>
      <w:r>
        <w:t>En l’espèce, il n’est pas contesté que l’acte notarié du 13 septembre 2022 intitulé « pacte d’emption et promesse d’achat » constitue une reconnaissance de dette soumise à deux conditions cumulatives suspensives, à savoir l’entrée en vigueur d’un PAL et l'obtention d'un permis de construire entré en force. Il s’agit donc uniquement de déterminer si les conditions cumulatives suspensives en question sont ou non réalisées dans le cas particulier. Or, à l’instar du premier juge, la Cour constate que les poursuivants n’ont pas démontré par titre – alors qu’il leur incombait de le faire – que les deux conditions cumulatives précitées sont réalisées, étant précisé que la seule affirmation des requérants ne suffit pas à cet égard, de sorte que l’acte notarié litigieux ne saurait constituer une reconnaissance de dette et un titre de mainlevée pour la peine conventionnelle de CHF 102'000.- réclamée en poursuite.</w:t>
      </w:r>
    </w:p>
    <w:p>
      <w:r>
        <w:rPr>
          <w:b/>
        </w:rPr>
        <w:t>E. 4</w:t>
      </w:r>
    </w:p>
    <w:p>
      <w:r>
        <w:t>mars 2019 consid. 4.1.1 ; arrêt TF 5A_734/2009 du 2 février 2010 consid. 3.1). Un contrat de vente immobilière à terme prévoyant une peine conventionnelle d'un montant déterminé en cas de non- exécution, assorti d'un constat notarié de carence, preuve de son inexécution par l'acheteur, suffit à l'obtention de la mainlevée par le vendeur (arrêt TF 5A_169/2009 du 3 novembre 2009 consid. 3.3).</w:t>
      </w:r>
    </w:p>
    <w:p>
      <w:r>
        <w:rPr>
          <w:b/>
        </w:rPr>
        <w:t>E. 4.1</w:t>
      </w:r>
    </w:p>
    <w:p>
      <w:r>
        <w:t>Les frais de la procédure de recours doivent être mis à la charge de A.________ et B.________, qui succombent (art. 106 al. 1 CPC). Ils comprennent les frais judiciaires, fixés forfaitairement à CHF 800.- (art. 48 et 61 al. 1 OELP), qui seront prélevés sur l’avance du même montant effectuée le 23 mai 2023.</w:t>
      </w:r>
    </w:p>
    <w:p>
      <w:r>
        <w:rPr>
          <w:b/>
        </w:rPr>
        <w:t>E. 4.2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 société C.________ SA pour la procédure de recours seront arrêtés globalement à la somme de CHF 861.60, TVA par CHF 61.60 comprise.</w:t>
      </w:r>
    </w:p>
    <w:p>
      <w:r>
        <w:t>Tribunal cantonal TC Page 5 de 5 la Cour arrête: I. Le recours est irrecevable. II. Les frais de la procédure de recours sont mis à la charge de A.________ et B.________, solidairement entre eux. Les frais judiciaires, fixés forfaitairement à CHF 800.-, sont prélevés sur l’avance du même montant effectuée le 23 mai 2023. Les dépens de la société C.________ SA pour la procédure de recours sont fixés globalement à la somme de CHF 861.60, TVA par CHF 61.60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juin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