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56 vom 5. Mai 2023</w:t>
      </w:r>
    </w:p>
    <w:p>
      <w:r>
        <w:t>FR Kantonsgericht, 2023-05-05, DE</w:t>
      </w:r>
    </w:p>
    <w:p>
      <w:r>
        <w:rPr>
          <w:b/>
        </w:rPr>
        <w:t xml:space="preserve">Quelle: </w:t>
      </w:r>
      <w:r>
        <w:t>https://mcp.opencaselaw.ch/entscheid/fr_gerichte_102_2023_56</w:t>
      </w:r>
    </w:p>
    <w:p>
      <w:r>
        <w:t>FR: FR_GERICHTE 102 2023 56 du 5 mai 2023</w:t>
      </w:r>
    </w:p>
    <w:p>
      <w:r>
        <w:t>IT: FR_GERICHTE 102 2023 56 del 5 maggio 2023</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27. März 2023 wurde der Beschwerdeführerin am 29. März 2023 zugestellt. Die am 3. April 2023 eingereichte Beschwerde erfolgte somit fristgerecht. Die Beschwerde enthält eine Begründung und Rechtsbegehren. Auf die Beschwerde ist somit einzutreten.</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w:t>
      </w:r>
    </w:p>
    <w:p>
      <w:r>
        <w:t>Kantonsgericht KG Seite 3 von 5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140 III 610 E. 4.1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 mens nicht von vornherein ausgeschlossen werden kann. Auch wenn der Schuldner die Zahlungs- fähigkeit nicht strikt beweisen, sondern nur glaubhaft machen muss, so genügen seine Behauptun- gen allein nicht. Es liegt am Schuldner, Beweismittel vorzulegen, die geeignet sind, seine Zahlungs- fähigkeit als glaubhaft erscheinen zu lassen. Der Schuldner muss insbesondere nachweisen, dass gegen ihn kein Konkursbegehren in einer ordentlichen Konkurs- oder in einer Wechselbetreibung hängig ist und dass keine weiteren vollstreckbaren Betreibungen vorliegen (Urteil BGer 5A_918/2020 vom 26. März 2021 E. 4.1 mit Hinweisen). Zahlungsfähig ist der Schuldner, wenn er über ausreichende liquide Mittel zur Begleichung der fälligen Schulden verfügt. Bloss vorübergehen- 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 fähig erweist sich ein Schuldner, der beispielsweise Konkursandrohungen anhäufen lässt, systema- tisch Rechtsvorschlag erhebt und selbst kleinere Beträge nicht bezahlt. Die Beurteilung beruht auf einem aufgrund der Zahlungsgewohnheiten eines Konkursiten gewonnenen Gesamteindruck (Urteil BGer 5A_108/2021 vom 29. September 2021).</w:t>
      </w:r>
    </w:p>
    <w:p>
      <w:r>
        <w:rPr>
          <w:b/>
        </w:rPr>
        <w:t>E. 2.2</w:t>
      </w:r>
    </w:p>
    <w:p>
      <w:r>
        <w:t>Gemäss Vorladung des Gerichtspräsidenten vom 27. Februar 2023 betrug der Ausstand, inklusive Zins, Verzugsschaden, Betreibungskosten sowie Entscheidgebühr zu jenem Zeitpunkt insgesamt CHF 1'522.65. Die Beschwerdeführerin hinterlegte am 5. April 2023 den Betrag von CHF 1'522.85 zugunsten der B.________ beim Kantonsgericht. Es ist somit festzustellen, dass die Beschwerdeführerin die Schuld, die Anlass zum vorliegenden Konkursverfahren gegeben hat, einschliesslich Zinsen und Kosten, getilgt hat. Damit ist eine der Voraussetzungen von Art. 174 Abs. 2 SchKG erfüllt.</w:t>
      </w:r>
    </w:p>
    <w:p>
      <w:r>
        <w:rPr>
          <w:b/>
        </w:rPr>
        <w:t>E. 2.3</w:t>
      </w:r>
    </w:p>
    <w:p>
      <w:r>
        <w:t>In Bezug auf die Zahlungsfähigkeit bringt die Beschwerdeführerin zusammenfassend vor, dass sie auf ihrem Geschäftskonto über liquide Mittel in Höhe von CHF 17'727.95 verfüge. Wie aus dem eingereichten Betreibungsauszug vom 30. März 2023 ersichtlich sei, seien nur zwei Betreibun- gen im Totalbetrag von CHF 2'106.55 gegen sie angehoben worden. Es handle sich dabei einerseits um die Betreibung, welche zum vorliegenden Verfahren geführt habe sowie um eine bereits bezahlte</w:t>
      </w:r>
    </w:p>
    <w:p>
      <w:r>
        <w:t>Kantonsgericht KG Seite 4 von 5 Forderung. Zudem sei die Zahlungsfähigkeit durch die Forderung der Beschwerdegegnerin von CHF 1'148.- nicht beeinflusst worden.</w:t>
      </w:r>
    </w:p>
    <w:p>
      <w:r>
        <w:rPr>
          <w:b/>
        </w:rPr>
        <w:t>E. 2.4</w:t>
      </w:r>
    </w:p>
    <w:p>
      <w:r>
        <w:t>Die Ausführungen der Beschwerdeführerin werden belegt. Aus dem von ihr eingereichten Auszug aus dem Betreibungsregister ergibt sich in der Tat, dass die nebst der Betreibung, welche Gegenstand des vorliegenden Verfahrens bildet, in Betreibung gesetzte Forderung beglichen wurde und keine weiteren Forderungen zu bestehen scheinen, zumindest nicht im Stadium einer vollstreck- baren Betreibung. Die von der Beschwerdeführerin beigebrachten Unterlagen zeigen folglich insge- samt, dass deren Zahlungsfähigkeit und Wirtschaftlichkeit gegeben sind. Mit Blick darauf, dass keine allzu strengen Anforderungen an die Glaubhaftmachung der Zahlungsfähigkeit gestellt werden dürfen, ist diese somit gesamthaft als glaubhaft gemacht zu betrachten. Die Beschwerde ist demnach gutzuheissen und der Konkursentscheid vom 27. März 2023 aufzuhe- ben.</w:t>
      </w:r>
    </w:p>
    <w:p>
      <w:r>
        <w:rPr>
          <w:b/>
        </w:rPr>
        <w:t>E. 3.1</w:t>
      </w:r>
    </w:p>
    <w:p>
      <w:r>
        <w:t>Da die Beschwerdeführerin das Verfahren durch nicht rechtzeitiges Bezahlen des geschul- deten Betrages verursacht hat, sind ihr die Prozesskosten für beide Instanzen aufzuerlegen (Art. 108 ZPO). Die Gerichtskosten für das erstinstanzliche Verfahren wurden auf CHF 200.- festgesetzt und der Beschwerdeführerin auferlegt; sie werden von dem durch die Beschwerdegegnerin geleisteten Kostenvorschuss bezogen und sind ihr durch die Beschwerdeführerin zu ersetzen. Der Saldo ist der Beschwerdegegnerin zurückzuerstatten. Die Gerichtskosten für das Beschwerdeverfahren werden auf CHF 500.- festgesetzt und mit dem von der Beschwerdeführerin geleisteten Kostenvorschuss verrechnet (Art. 52 und 61 Abs. 1 GebV SchKG).</w:t>
      </w:r>
    </w:p>
    <w:p>
      <w:r>
        <w:rPr>
          <w:b/>
        </w:rPr>
        <w:t>E. 3.2</w:t>
      </w:r>
    </w:p>
    <w:p>
      <w:r>
        <w:t>Es wird keine Parteientschädigung zugesprochen. (Dispositiv auf der nächsten Seite)</w:t>
      </w:r>
    </w:p>
    <w:p>
      <w:r>
        <w:t>Kantonsgericht KG Seite 5 von 5 Der Hof erkennt: I. Die Beschwerde wird gutgeheissen. II. Der Entscheid des Präsidenten des Zivilgerichts des Seebezirks vom 27. März 2023 wird aufgehoben. III. Der von der A.________ AG beim Kantonsgericht hinterlegte Betrag von CHF 1'522.85 wird zuhanden der B.________ (Betreibung Nr. ccc) unverzüglich dem Betreibungsamt des Seebe- zirks überwiesen. IV. Die Prozesskosten beider Instanzen werden der A.________ AG auferlegt. Die Gerichtskosten für das erstinstanzliche Verfahren werden auf CHF 200.- festgesetzt; sie werden vom Kostenvorschuss der B.________ bezogen und sind dieser durch die A.________ AG zu ersetzen. Der Saldo des Kostenvorschusses ist der B.________ zurückzuerstatten. Die Gerichtskosten für das Beschwerdeverfahren werden auf CHF 500.- festgesetzt und mit dem von der A.________ AG geleisteten Kostenvorschuss verrechnet. Es werden keine Parteientschädigungen zugesprochen.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Mai 2023/fju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