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39 vom 27. April 2023</w:t>
      </w:r>
    </w:p>
    <w:p>
      <w:r>
        <w:t>FR Kantonsgericht, 2023-04-27, FR</w:t>
      </w:r>
    </w:p>
    <w:p>
      <w:r>
        <w:rPr>
          <w:b/>
        </w:rPr>
        <w:t xml:space="preserve">Quelle: </w:t>
      </w:r>
      <w:r>
        <w:t>https://mcp.opencaselaw.ch/entscheid/fr_gerichte_102_2023_39</w:t>
      </w:r>
    </w:p>
    <w:p>
      <w:r>
        <w:t>FR: FR_GERICHTE 102 2023 39 du 27 avril 2023</w:t>
      </w:r>
    </w:p>
    <w:p>
      <w:r>
        <w:t>IT: FR_GERICHTE 102 2023 39 del 27 aprile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Il en résulte que les nouveaux allégués et pièces produits par le recourant, au stade du recours, sont irrecevables, faute d'avoir été formulés en première instance. Partant, la Cour n’en tiendra pas compte.</w:t>
      </w:r>
    </w:p>
    <w:p>
      <w:r>
        <w:rPr>
          <w:b/>
        </w:rPr>
        <w:t>E. 2.1</w:t>
      </w:r>
    </w:p>
    <w:p>
      <w:r>
        <w:t>Aux termes de l'art. 82 LP, le créancier dont la poursuite se fonde sur une reconnaissance de dette constatée par acte authentique ou sous seing privé peut requérir la mainlevée provisoire</w:t>
      </w:r>
    </w:p>
    <w:p>
      <w:r>
        <w:t>Tribunal cantonal TC Page 3 de 4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En l’espèce, la Présidente a considéré qu’aucune des pièces produites par le requérant n’était signée par l’opposante et qu’il ne pouvait donc pas être retenu, même par rapprochement de pièces, que l’opposante s’était engagée par écrit à payer à la requérante un montant de CHF 5'961.25.</w:t>
      </w:r>
    </w:p>
    <w:p>
      <w:r>
        <w:rPr>
          <w:b/>
        </w:rPr>
        <w:t>E. 2.3</w:t>
      </w:r>
    </w:p>
    <w:p>
      <w:r>
        <w:t>Le recourant allègue qu’il ressort des courriers et factures établis par la commune de D.________, qui a également réalisé des travaux pour le compte de l’intimée dans le cadre du même chantier, que les travaux qui font l’objet de la procédure de poursuite et dont le paiement est requis, ont bien été réalisés par le recourante. Force est toutefois de constater que ces documents ne constituent pas une reconnaissance de dette dès lors qu’il n’en ressort pas la volonté de l’intimée de payer au recourant, sans réserve ni condition, une somme d’argent déterminée ou aisément déterminable et échue (cf. supra 2.1.). Comme l’a relevé la Présidente, aucune des pièces produites par le recourant n’est signée par l’intimée de sorte qu’elles ne valent pas reconnaissance de dette. Pour le surplus, les documents produits en première instance par le requérant, même rapprochés entre eux, ne permettent pas d’arriver à un constat différent, si bien qu’ils ne constituent pas une reconnaissance de dette et, partant, ne sauraient valoir titre de mainlevée au sens de l’art. 82 LP.</w:t>
      </w:r>
    </w:p>
    <w:p>
      <w:r>
        <w:t>Tribunal cantonal TC Page 4 de 4</w:t>
      </w:r>
    </w:p>
    <w:p>
      <w:r>
        <w:rPr>
          <w:b/>
        </w:rPr>
        <w:t>E. 3</w:t>
      </w:r>
    </w:p>
    <w:p>
      <w:r>
        <w:t>Les frais de la procédure de recours sont mis à la charge du recourant, qui succombe (art. 106 al. 1 CPC).</w:t>
      </w:r>
    </w:p>
    <w:p>
      <w:r>
        <w:rPr>
          <w:b/>
        </w:rPr>
        <w:t>E. 3.1</w:t>
      </w:r>
    </w:p>
    <w:p>
      <w:r>
        <w:t>Ils comprennent les frais judiciaires, fixés forfaitairement à CHF 250.- (art. 48 et 61 al. 1 OELP), qui seront prélevés sur l’avance de frais du même montant effectuée le 30 mars 2023.</w:t>
      </w:r>
    </w:p>
    <w:p>
      <w:r>
        <w:rPr>
          <w:b/>
        </w:rPr>
        <w:t>E. 3.2</w:t>
      </w:r>
    </w:p>
    <w:p>
      <w:r>
        <w:t>Il n'est pas alloué de dépens à l’intimée qui, bien qu’invitée à se déterminer sur le recours, n’a déposé aucune réponse dans le délai qui lui a été imparti à cet effet. la Cour arrête : I. Le recours est rejeté. Partant, la décision de la Présidente du Tribunal civil de l’arrondissement de la Sarine du 27 février 2023 est confirmée. II. Les frais de la procédure de recours sont mis à la charge de la société A.________. Les frais judiciaires sont fixés à CHF 250.- et seront prélevés sur l’avance de frais du même montant effectuée le 30 mars 2023.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avril 2023/say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