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34 vom 9. Mai 2023</w:t>
      </w:r>
    </w:p>
    <w:p>
      <w:r>
        <w:t>FR Kantonsgericht, 2023-05-09, FR</w:t>
      </w:r>
    </w:p>
    <w:p>
      <w:r>
        <w:rPr>
          <w:b/>
        </w:rPr>
        <w:t xml:space="preserve">Quelle: </w:t>
      </w:r>
      <w:r>
        <w:t>https://mcp.opencaselaw.ch/entscheid/fr_gerichte_102_2023_34</w:t>
      </w:r>
    </w:p>
    <w:p>
      <w:r>
        <w:t>FR: FR_GERICHTE 102 2023 34 du 9 mai 2023</w:t>
      </w:r>
    </w:p>
    <w:p>
      <w:r>
        <w:t>IT: FR_GERICHTE 102 2023 34 del 9 maggio 2023</w:t>
      </w:r>
    </w:p>
    <w:p>
      <w:pPr>
        <w:pStyle w:val="Heading2"/>
      </w:pPr>
      <w:r>
        <w:t>Regeste</w:t>
      </w:r>
    </w:p>
    <w:p>
      <w:r>
        <w:t>Arrêt de la IIe Cour d'appel civil du Tribunal cantonal | Rechtsöffnung</w:t>
      </w:r>
    </w:p>
    <w:p>
      <w:pPr>
        <w:pStyle w:val="Heading2"/>
      </w:pPr>
      <w:r>
        <w:t>Erwägungen</w:t>
      </w:r>
    </w:p>
    <w:p>
      <w:r>
        <w:rPr>
          <w:b/>
        </w:rPr>
        <w:t>E. 14</w:t>
      </w:r>
    </w:p>
    <w:p>
      <w:r>
        <w:t>septembre 2017 correspondant à la « facture n° ddd du 25 août 2017 ». Il a retenu que la facture n° ddd du 25 août 2017 produite par la requérante sur laquelle figure la signature manuscrite de A.________ avec la mention « Bon pour accord » et la date du « 14-9- 2017 » est un titre de mainlevée valable. Il a constaté que ce dernier n’a démontré au moyen d’aucune pièce ou preuve qu’il serait davantage vraisemblable que la signature figurant sur la facture en question y ait été collée par la requérante dans le but d’induire en erreur. B. Le 13 mars 2023, A.________ a interjeté un recours contre cette décision et a requis l’effet suspensif qui a été accordé par décision du 15 mars 2023 de la Vice-Présidente. C. B.________ SA a déposé une réponse le 10 avril 2023. Elle conclut au rejet du recours.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Les conclusions, les allégations de fait et les preuves nouvelles sont irrecevables (art. 326 al.1 CPC). Partant, pour examiner si la loi a été violée, la Cour doit se placer dans la situation où se trouvait le premier juge lorsqu’il a rendu la décision attaquée. S’agissant d’une procédure de mainlevée provisoire, la Cour doit vérifier d’office si la requête est fondée sur un titre de mainlevée valable. Dans cette mesure, elle applique librement le droit. 1.2. La valeur litigieuse est supérieure à CHF 30'000.- de sorte que le recours en matière civile est ouvert contre le présent arrêt (art. 74 al. 1 let. b et 113 ss LTF). 2. Tout comme en première instance, le recourant soutient que la facture du 25 août 2017 produite par la requérante ne vaut pas reconnaissance de dette dans la mesure où il conteste l’avoir signée et y avoir apposé l’annotation « Bon pour accord ». Il pense que sa signature a été copiée d’un autre document. Il allègue que la requérante n’a pas été en mesure de produire l’original de la facture comportant sa signature de sorte que le Président a violé l’art. 82 LP en retenant qu’il s’agissait d’un titre de mainlevée valable. L’intimée estime qu’elle a rendu vraisemblable que la facture originale</w:t>
      </w:r>
    </w:p>
    <w:p>
      <w:r>
        <w:t>Tribunal cantonal TC Page 3 de 5 avait été restituée au recourant, tout comme plus de 1'224 pièces, par l’intermédiaire de son précédent conseil en 2022. En l’espèce, la Cour doit vérifier d’office l’existence matérielle de la reconnaissance de dette. 2.1.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Dans tous les cas, pour constituer un titre de mainlevée, la reconnaissance de dette doit être signée par le débiteur ou son représentant, à moins qu'elle ne soit contenue dans un acte authentique (CR LP-SCHMIDT, 2005, art. 82 LP, n. 19). 2.2. Selon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Un titre de mainlevée peut être produit en copie pour autant que la partie adverse n’en conteste pas l’authenticité (PC CPC-VOUILLOZ, 2020, art. 180 n. 3). La notion d’authenticité de l’art. 180 al. 1 CPC (production des titres) comprend l’authenticité du contenu étant donné que la production de l’original d’un titre permet de vérifier que son contenu correspond à celui de la copie produite en justice par une partie. Elle ne correspond pas à celle de l’art. 178 CPC qui ne se réfère qu’à l’identité de l’auteur et qui requiert des motifs suffisants en cas de contestation (ATF 143 III 453 consid. 3.6). 2.3. En l’espèce, le débiteur conteste avoir apposé la mention « Bon pour accord », la date « 14-9-2017 » ainsi que sa signature sur la facture du 25 août 2017. Il soutient que cette partie a été collée sur la facture à partir d’un autre document et sollicite la production du titre original. Il s’agit</w:t>
      </w:r>
    </w:p>
    <w:p>
      <w:r>
        <w:t>Tribunal cantonal TC Page 4 de 5 donc d’un argument ayant trait à l’authenticité du contenu du titre produit et donc de son authenticité au sens large. La répartition du fardeau de la preuve de l’authenticité du titre n’est pas régie par l’art 179 CPC mais par la règle générale de l’art. 8 CC qui prévoit que chaque partie doit, si la loi ne prescrit le contraire, prouver les faits qu’elle allègue pour en déduire un droit. Dès lors, suite au grief soulevé par le débiteur – lequel ne requiert pas de motifs suffisants comme l’exige l’art. 178 CPC, il appartient à la créancière de prouver l’authenticité du contenu du titre (cf. ATF 143 précité). L’intimée se contente d’affirmer que la facture originale a été restituée au recourant, à l’instar de plus de 1'224 pièces, par l’intermédiaire de son précédent conseil en 2022 (cf. réplique du 12 janvier 2023 p. 2, P. 86 dossier de 1ère instance). Elle n’explique cependant pas pourquoi elle aurait remis au débiteur le titre original qui comportait sa signature et n’en aurait gardé qu’une copie pour elle. Elle n’explique pas non plus pourquoi elle n’aurait pas conservé le titre original alors qu’elle aurait pris la précaution de faire signer la facture du 25 août 2017 au débiteur le 14 septembre 2017, soit avant l’échéance des 30 jours pour le paiement. La Cour s’étonne du fait qu’aucun rappel n’a été produit par l’intimée et que la poursuite n’a été introduite que cinq ans après l’échéance de la facture. Sans le document original, la Cour n’est pas en mesure de vérifier que son contenu correspond à celui de la copie produite et que les adjonctions manuscrites n’ont pas été collées à partir d’un autre document. A défaut d’avoir prouvé que la facture du 25 août 2017 a bel et bien été reconnue par le débiteur par l’apposition de sa signature sur le titre original, la requête de mainlevée doit être rejetée. Au surplus, selon l’art. 89 al. 3 CO, la remise du titre au débiteur, telle qu’alléguée par l’intimée, fait présumer l’extinction de la dette, ce qui scelle le sort du recours. Il s’ensuit l’admission du recours et la réformation de la décision entreprise. 3.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la mainlevée est rejetée. Partant, il se justifie de mettre les frais de la procédure des deux instances à la charge de B.________ SA qui succombe. 3.1. Les frais judiciaires de première instance ont été fixés à CHF 300.- et ils n’ont pas été contestés en procédure de recours. Ils seront prélevés sur l’avance de frais effectuée par B.________ SA. Les frais judiciaires de la procédure de recours sont fixés forfaitairement à CHF 600.- (art. 48 et 61 al. 1 OELP). Ils seront prélevés sur l’avance de frais effectuée par A.________ qui a droit à son remboursement par B.________ SA. 3.2. Le recourant est assisté d’un représentant professionnel et a pris des conclusions avec suite de dépens pour les deux instances.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5 de 5 En l'espèce, compte tenu de ces critères, les dépens du recourant sont arrêtés globalement pour les deux instances à la somme de CHF 807.75, TVA par CHF 57.75 comprise. la Cour arrête : I. Le recours est admis. Partant, la décision rendue le 28 février 2023 par le Président du Tribunal civil de la Glâne est modifiée comme suit : 1. La requête de mainlevée déposée le 7 novembre 2022 par B.________ SA est rejetée. 2. Partant, la mainlevée provisoire de l’opposition formée par A.________ au commandement de payer n° ccc de l’Office des poursuites de la Glâne, notifié à l’instance de B.________ SA, portant sur le montant de CHF 77'818.74 avec intérêt moratoire à 5% l’an dès le 14 septembre 2017 est refusée. 3. Les frais sont mis à la charge de B.________ SA. Les frais judiciaires dus à l’Etat, par CHF 300.-, seront prélevés sur l’avance de frais effectuée par B.________ SA. II. Les frais de la procédure de recours sont mis à la charge de B.________ SA. Les frais judiciaires dus à l’Etat sont fixés forfaitairement à CHF 600.-. Les dépens de A.________ pour la première instance et pour la procédure de recours sont fixés globalement à CHF 807.75, TVA par CHF 57.75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mai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