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268 vom 4. April 2024</w:t>
      </w:r>
    </w:p>
    <w:p>
      <w:r>
        <w:t>FR Kantonsgericht, 2024-04-04, FR</w:t>
      </w:r>
    </w:p>
    <w:p>
      <w:r>
        <w:rPr>
          <w:b/>
        </w:rPr>
        <w:t xml:space="preserve">Quelle: </w:t>
      </w:r>
      <w:r>
        <w:t>https://mcp.opencaselaw.ch/entscheid/fr_gerichte_102_2023_268</w:t>
      </w:r>
    </w:p>
    <w:p>
      <w:r>
        <w:t>FR: FR_GERICHTE 102 2023 268 du 4 avril 2024</w:t>
      </w:r>
    </w:p>
    <w:p>
      <w:r>
        <w:t>IT: FR_GERICHTE 102 2023 268 del 4 aprile 2024</w:t>
      </w:r>
    </w:p>
    <w:p>
      <w:pPr>
        <w:pStyle w:val="Heading2"/>
      </w:pPr>
      <w:r>
        <w:t>Regeste</w:t>
      </w:r>
    </w:p>
    <w:p>
      <w:r>
        <w:t>Arrêt de la IIe Cour d'appel civil du Tribunal cantonal</w:t>
      </w:r>
    </w:p>
    <w:p>
      <w:pPr>
        <w:pStyle w:val="Heading2"/>
      </w:pPr>
      <w:r>
        <w:t>Erwägungen</w:t>
      </w:r>
    </w:p>
    <w:p>
      <w:r>
        <w:rPr>
          <w:b/>
        </w:rPr>
        <w:t>E. 15</w:t>
      </w:r>
    </w:p>
    <w:p>
      <w:r>
        <w:t>mai 2024. II. Les frais de la procédure de recours sont mis à la charge de A.________. Les frais judiciaires sont fixés forfaitairement à CHF 1'000.-. Ils seront prélevés sur l’avance de CHF 2'000.- versée par le recourant, le solde lui étant restitué. Les dépens de la commune de B.________, pour la procédure de recours, sont fixés globalement à CHF 1’081.-, TVA par CHF 81.-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avril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