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229 vom 28. November 2023</w:t>
      </w:r>
    </w:p>
    <w:p>
      <w:r>
        <w:t>FR Kantonsgericht, 2023-11-28, DE</w:t>
      </w:r>
    </w:p>
    <w:p>
      <w:r>
        <w:rPr>
          <w:b/>
        </w:rPr>
        <w:t xml:space="preserve">Quelle: </w:t>
      </w:r>
      <w:r>
        <w:t>https://mcp.opencaselaw.ch/entscheid/fr_gerichte_102_2023_229</w:t>
      </w:r>
    </w:p>
    <w:p>
      <w:r>
        <w:t>FR: FR_GERICHTE 102 2023 229 du 28 novembre 2023</w:t>
      </w:r>
    </w:p>
    <w:p>
      <w:r>
        <w:t>IT: FR_GERICHTE 102 2023 229 del 28 novembre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6 novembre 2023.</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w:t>
      </w:r>
    </w:p>
    <w:p>
      <w:r>
        <w:rPr>
          <w:b/>
        </w:rPr>
        <w:t>E. 2.2</w:t>
      </w:r>
    </w:p>
    <w:p>
      <w:r>
        <w:t>Le recourant informe la Cour que le montant de CHF 1'464.- en capital sera acquitté en semaine 47. Or la semaine 47, soit du 20 au 26 novembre 2023, ne se trouve déjà plus dans le délai de recours venu à échéance le 16 novembre 2023, de sorte que le paiement, s’il intervient, serait tardif. En outre, le recourant devait payer la dette, les intérêts et les frais, soit un total de CHF 1'965.90, tel qu’indiqué par le Président du Tribunal dans la citation à comparaître du 28 septembre 2023, et non pas seulement CHF 1'464.-. De plus, le recourant fait l’objet de très nombreuses poursuites et il n’a produit aucune pièce susceptible de rendre vraisemblable sa solvabilité alors que, par courrier du 9 novembre 2023, son attention a été attirée sur ce point. Par conséquent, les conditions de l’art. 174 al. 2 LP ne sont pas remplies et le recours, manifestement infondé, doit être rejeté sans échange d'écritures (art. 322 al. 1 CPC). Tribunal cantonal TC Page 3 de 3</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n'y a pas lieu d'allouer d’équitable indemnité de partie à l’intimée, dès lors qu’elle n’a pas été invitée à se déterminer sur le recours. la Cour arrête : I. Manifestement infondé, le recours est rejeté. Partant, la décision de faillite rendue le 30 octobre 2023 (cause no 10 2023 1341) par le Président du Tribunal civil de l'arrondissement de la Gruyère est confirmée. II. Les frais judiciaires de la procédure de recours, fixés à CHF 500.-, sont mis à la charge de A.________. III.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