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2023 227 vom 29. November 2023</w:t>
      </w:r>
    </w:p>
    <w:p>
      <w:r>
        <w:t>FR Kantonsgericht, 2023-11-29, DE</w:t>
      </w:r>
    </w:p>
    <w:p>
      <w:r>
        <w:rPr>
          <w:b/>
        </w:rPr>
        <w:t xml:space="preserve">Quelle: </w:t>
      </w:r>
      <w:r>
        <w:t>https://mcp.opencaselaw.ch/entscheid/fr_gerichte_102_2023_227</w:t>
      </w:r>
    </w:p>
    <w:p>
      <w:r>
        <w:t>FR: FR_GERICHTE 102 2023 227 du 29 novembre 2023</w:t>
      </w:r>
    </w:p>
    <w:p>
      <w:r>
        <w:t>IT: FR_GERICHTE 102 2023 227 del 29 novembre 2023</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la recourante a respecté. La Cour statue sans débats (art. 327 al. 2 CPC). La cognition de la Cour d’appel est pleine et entière en droit; s’agissant des faits, elle est limitée à leur constatation manifestement inexacte (art. 320 CPC).</w:t>
      </w:r>
    </w:p>
    <w:p>
      <w:r>
        <w:rPr>
          <w:b/>
        </w:rPr>
        <w:t>E. 1.2</w:t>
      </w:r>
    </w:p>
    <w:p>
      <w:r>
        <w:t>La valeur litigieuse est manifestement inférieure à CHF 30'000.-, si bien que seule la voie du recours constitutionnel subsidiaire au Tribunal fédéral est ouverte, cas échéant (art. 74 al. 1 let. a a contrario LTF).</w:t>
      </w:r>
    </w:p>
    <w:p>
      <w:r>
        <w:rPr>
          <w:b/>
        </w:rPr>
        <w:t>E. 1.3</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(cf. arrêt TF 5A_950/2014 du 16 avril 2015 consid. 3.5). En l’espèce, la recourante a produit, au stade du recours seulement, différentes pièces qui ne figuraient pas dans le dossier de première instance. Elle se prévaut par ailleurs d’allégués nouveaux en relation avec ces pièces. Ces nouveaux moyens, tardifs au regard de l’art. 326 al. 1 CPC, sont irrecevables. Il n’en sera dès lors pas tenu compte et la Cour statuera sur la base des allégués et des pièces produites en première instance.</w:t>
      </w:r>
    </w:p>
    <w:p>
      <w:r>
        <w:rPr>
          <w:b/>
        </w:rPr>
        <w:t>E. 2.1</w:t>
      </w:r>
    </w:p>
    <w:p>
      <w:r>
        <w:t>En vertu de l'art. 321 al. 1 CPC, le recours doit être motivé, ce qui suppose de démontrer le caractère erroné de la motivation attaquée, sous peine d'irrecevabilité; pour satisfaire à cette exigence, il ne suffit cependant pas de renvoyer aux moyens soulevés en première instance, ni de Tribunal cantonal TC Page 3 de 5 se livrer à des critiques toutes générales de la décision attaquée: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et arrêt TF 5A_82/2013 du 18 mars 2013 consid. 3.2).</w:t>
      </w:r>
    </w:p>
    <w:p>
      <w:r>
        <w:rPr>
          <w:b/>
        </w:rPr>
        <w:t>E. 2.2</w:t>
      </w:r>
    </w:p>
    <w:p>
      <w:r>
        <w:t>En l’espèce, force est de constater que l’acte de recours déposé par la société A.________ Sàrl ne contient aucune motivation idoine, dès lors que l’intéressée articule l’essentiel de son argumentation autour d’allégations de faits et de preuves nouvelles. Ce faisant, elle exerce à l'encontre des constatations de fait de la décision attaquée une critique purement appellatoire qui, pour mémoire (cf. supra consid. 1.3.), est irrecevable dans le cadre de la présente procédure. En tout état de cause, elle n’expose pas en quoi le premier juge aurait eu tort de refuser de prononcer la mainlevée provisoire de l’opposition formée par B.________ et ne formule aucune critique à l'encontre du contenu de la décision querellée elle-même, ne remettant pas en cause la motivation de la Présidente conformément au prescrit de l’art. 321 CPC. Il s’ensuit l’irrecevabilité du recours.</w:t>
      </w:r>
    </w:p>
    <w:p>
      <w:r>
        <w:rPr>
          <w:b/>
        </w:rPr>
        <w:t>E. 3</w:t>
      </w:r>
    </w:p>
    <w:p>
      <w:r>
        <w:t>Quand bien même il serait recevable, le recours devrait de toute façon être rejeté dans la mesure où il est manifestement mal fondé, la décision attaquée ne comportant en définitive aucune erreur que ce soit dans l’application du droit et/ou dans sa justification en fait.</w:t>
      </w:r>
    </w:p>
    <w:p>
      <w:r>
        <w:rPr>
          <w:b/>
        </w:rPr>
        <w:t>E. 3.1</w:t>
      </w:r>
    </w:p>
    <w:p>
      <w:r>
        <w:t>Selon l'art. 82 LP, le créancier dont la poursuite se fonde sur une reconnaissance de dette constatée par acte authentique ou sous seing privé peut requérir la mainlevée provisoire (al. 1) ; le juge la prononce si le débiteur ne rend pas immédiatement vraisemblable sa libération (al. 2).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 ses moyens libératoires (ATF 142 III 720 consid. 4.1 ;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références).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145 Ill 20 consid. 4.1.1 ; ATF 139 III 297 consid. 2.3.1 ; ATF 136 III 624 consid. 4.2.2 ; ATF 136 III 627 consid. 2 et la jurisprudence citée). Un contrat écrit justifie en principe la mainlevée provisoire de l'opposition pour la somme d'argent incombant au poursuivi lorsque les conditions d'exigibilité de la dette sont établies (ATF 145 III 20 consid. 4.1.1 ; arrêt TF 5A_465/2014 du 20 août 2014 consid. 7.2.1.2) et, en particulier dans les contrats bilatéraux, lorsque le poursuivant prouve avoir exécuté les prestations dont dépend l'exigibilité (ATF 145 III 20 précité ; arrêt TF 5A_367/2007 du 15 octobre 2007 consid. 3.1 et les références citées). Les conventions portant sur des contributions d'entretien valent titre de mainlevée définitive si elles ont été ratifiées par le tribunal ; dans le cas contraire elles ne permettent que la mainlevée provisoire (ABBET/VEUILLET, art.80 n. 99). D’après la jurisprudence, lorsqu’un Tribunal cantonal TC Page 4 de 5 architecte est chargé d’établir des plans, des soumissions ou des projets de construction, il se conclut un contrat d’entreprise (art. 363 CO) ; s’il est chargé des adjudications et de la surveillance des travaux, il s’agit d’un mandat (art. 394 CO) ; si sa mission englobe des activités relevant des deux catégories, le contrat est mixte et relève, suivant les prestations, du mandat ou du contrat d’entreprise (ATF 127 III 543, rés. in JT 2002 I 217). Lorsque, pour faire échec à la mainlevée fondée sur un contrat bilatéral, le poursuivi allègue que le créancier n'a pas ou pas correctement exécuté sa propre prestation, la mainlevée ne peut être accordée que si son affirmation est manifestement sans fondement ou si le créancier est en mesure d'infirmer immédiatement, par des documents, l'affirmation du débiteur (arrêt TF 5A_367/2007 du 15 octobre 2007 consid. 3.1).</w:t>
      </w:r>
    </w:p>
    <w:p>
      <w:r>
        <w:rPr>
          <w:b/>
        </w:rPr>
        <w:t>E. 3.2</w:t>
      </w:r>
    </w:p>
    <w:p>
      <w:r>
        <w:t>En l’espèce, la Présidente a en substance considéré que la prestation fournie par la requérante ne correspondait pas à ce qui avait été convenu contractuellement entre les parties. En d’autres termes, l’opposante a allégué et rendu vraisemblable que la requérante n’a pas correctement exécuté sa propre prestation, sans que celle-ci ne soit en mesure d'infirmer immédiatement, par pièces, l'affirmation de la débitrice poursuivie, comme il lui incombait de le faire, et ce, en première instance déjà. La recourante ne le conteste pas véritablement, mais tente de se justifier, en produisant différentes pièces qui ne figuraient pas dans le dossier de première instance. Or, comme relevé précédemment (cf. supra consid. 1.3.), il s’agit là de moyens nouveaux qui sont irrecevables au stade du recours, de sorte qu’il ne peut pas en être tenu compte. Dans ces circonstances, la procédure de mainlevée étant une procédure sur titre qui s’accompagne d’un formalisme certain, c’est à juste titre que la Présidente a refusé de prononcer la mainlevée provisoire de l’opposition formée par B.________.</w:t>
      </w:r>
    </w:p>
    <w:p>
      <w:r>
        <w:rPr>
          <w:b/>
        </w:rPr>
        <w:t>E. 4.1</w:t>
      </w:r>
    </w:p>
    <w:p>
      <w:r>
        <w:t>Les frais de la procédure de recours doivent être mis à la charge de la recourante, qui succombe (art. 106 al. 1 CPC). Ils comprennent les frais judiciaires, fixés forfaitairement à CHF 400.- (art. 48 et 61 al. 1 OELP). Ceux-ci seront prélevés sur l’avance de frais du même montant effectuée le 15 novembre 2023.</w:t>
      </w:r>
    </w:p>
    <w:p>
      <w:r>
        <w:rPr>
          <w:b/>
        </w:rPr>
        <w:t>E. 4.2</w:t>
      </w:r>
    </w:p>
    <w:p>
      <w:r>
        <w:t>Il n'est pas alloué de dépens à l’intimée, qui n’a pas été invitée à se déterminer sur le recours, conformément au prescrit de l’art. 322 al. 1 CPC. (dispositif en page suivante) Tribunal cantonal TC Page 5 de 5 la Cour arrête: I. Le recours est irrecevable. II. Les frais de la procédure de recours sont mis à la charge de la société A.________ Sàrl. Les frais judiciaires sont fixés à CHF 400.-. Ils seront prélevés sur l’avance de frais effectuée.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29 novembre 2023/lda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