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217 vom 28. November 2023</w:t>
      </w:r>
    </w:p>
    <w:p>
      <w:r>
        <w:t>FR Kantonsgericht, 2023-11-28, DE</w:t>
      </w:r>
    </w:p>
    <w:p>
      <w:r>
        <w:rPr>
          <w:b/>
        </w:rPr>
        <w:t xml:space="preserve">Quelle: </w:t>
      </w:r>
      <w:r>
        <w:t>https://mcp.opencaselaw.ch/entscheid/fr_gerichte_102_2023_217</w:t>
      </w:r>
    </w:p>
    <w:p>
      <w:r>
        <w:t>FR: FR_GERICHTE 102 2023 217 du 28 novembre 2023</w:t>
      </w:r>
    </w:p>
    <w:p>
      <w:r>
        <w:t>IT: FR_GERICHTE 102 2023 217 del 28 novembre 2023</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25. August 2023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Für die Berechnung, die Einhaltung und den Lauf der Fristen gelten die Bestimmungen der ZPO, sofern das SchKG nichts anderes bestimmt (Art. 31 SchKG). Fristen, die durch eine Mitteilung oder den Eintritt eines Ereignisses ausgelöst werden, beginnen am folgenden Tag zu laufen (Art. 142 Abs. 1 ZPO). Fällt der letzte Tag einer Frist auf einen Samstag, einen Sonntag oder einen am Gerichtsort vom Bundesrecht oder vom kantonalen Recht anerkannten Feiertag, so endet sie am nächsten Werktag (Art. 142 Abs. 3 ZPO). Der angefochtene Entscheid wurde dem Beschwerdeführer am 11. Oktober 2023 zugestellt (vgl. Akten des Zivilgerichtspräsidenten). Da der 21. Oktober 2023 auf einen Samstag fiel, erfolgte die am Montag, 23. Oktober 2023,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t>Kantonsgericht KG Seite 3 von 4</w:t>
      </w:r>
    </w:p>
    <w:p>
      <w:r>
        <w:rPr>
          <w:b/>
        </w:rPr>
        <w:t>E. 1.6</w:t>
      </w:r>
    </w:p>
    <w:p>
      <w:r>
        <w:t>Über eine Beschwerde kann aufgrund der Akten entschieden werden (Art. 327 Abs. 2 ZPO).</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2023 135 vom 16. August 2023; 102 2020 115 vom 14. Juli 2020 E. 2; 102 2021 117 vom 2. August 2021 E. 2.1; BGE 138 III 374 E. 4.3.1). Aus der Eingabe des Beschwerdeführers geht hervor, dass er mit dem erstinstanzlichen Entscheid und allgemein dem Staat Freiburg bzw. der Freiburger Justiz nicht einverstanden ist. Nebst den Äusserungen zum Unmut gegenüber den Behörden und der dem Rechtsstreit zugrunde liegenden Problematik macht der Beschwerdeführer allgemeine Ausführungen zur Beseitigung des Rechtsvor- schlags und zur Rechtsöffnung. Mit den Ausführungen der Vorinstanz setzt sich der Beschwerde- führer jedoch nur ganz am Rande auseinander, indem er vorbringt, die Verfügung sei sehr wohl rechtskräftig, weshalb die Rechtsöffnung zu gewähren sei. Es ist aber nicht ersichtlich, an welchen Mängeln der angefochtene Entscheid leiden soll. Der Beschwerdeführer zeigt auch nicht auf, inwie- fern die Vorinstanz das Recht verletzt hat oder weshalb die Sachverhaltsfeststellung unrichtig ist. Die am 23. Oktober 2023 eingereichte Beschwerde erfüllt die Anforderungen an den Inhalt bzw. die Begründung einer Beschwerdeschrift selbst bei grosszügiger Auslegung und Handhabung hinsicht- lich einer Laienbeschwerde nicht, so dass darauf nicht einzutreten ist.</w:t>
      </w:r>
    </w:p>
    <w:p>
      <w:r>
        <w:rPr>
          <w:b/>
        </w:rPr>
        <w:t>E. 3</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100.- festzusetzen (Art. 48 und 61 Abs. 1 GebV SchKG). Es wurde gemäss Art. 322 ZPO keine Vernehmlassung eingeholt und der Gegenpartei sind keine weiteren Umstände entstanden; es ist somit keine Parteientschädigung auszurichten. (Dispositiv auf nachfolgender Seite)</w:t>
      </w:r>
    </w:p>
    <w:p>
      <w:r>
        <w:t>Kantonsgericht KG Seite 4 von 4 Der Hof erkennt: I. Auf die Beschwerde wird nicht eingetreten. II. Die Prozesskosten des Beschwerdeverfahrens werden A.________ auferlegt. Die Gerichtskosten des Beschwerdeverfahrens werden auf CHF 100.- festgesetzt.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28. November 2023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