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203 vom 9. November 2023</w:t>
      </w:r>
    </w:p>
    <w:p>
      <w:r>
        <w:t>FR Kantonsgericht, 2023-11-09, FR</w:t>
      </w:r>
    </w:p>
    <w:p>
      <w:r>
        <w:rPr>
          <w:b/>
        </w:rPr>
        <w:t xml:space="preserve">Quelle: </w:t>
      </w:r>
      <w:r>
        <w:t>https://mcp.opencaselaw.ch/entscheid/fr_gerichte_102_2023_203</w:t>
      </w:r>
    </w:p>
    <w:p>
      <w:r>
        <w:t>FR: FR_GERICHTE 102 2023 203 du 9 novembre 2023</w:t>
      </w:r>
    </w:p>
    <w:p>
      <w:r>
        <w:t>IT: FR_GERICHTE 102 2023 203 del 9 novembre 2023</w:t>
      </w:r>
    </w:p>
    <w:p>
      <w:pPr>
        <w:pStyle w:val="Heading2"/>
      </w:pPr>
      <w:r>
        <w:t>Regeste</w:t>
      </w:r>
    </w:p>
    <w:p>
      <w:r>
        <w:t>Arrêt de la IIe Cour d'appel civil du Tribunal cantonal | Sistierung des Verfahrens (Art. 126 ZPO)</w:t>
      </w:r>
    </w:p>
    <w:p>
      <w:pPr>
        <w:pStyle w:val="Heading2"/>
      </w:pPr>
      <w:r>
        <w:t>Erwägungen</w:t>
      </w:r>
    </w:p>
    <w:p>
      <w:r>
        <w:rPr>
          <w:b/>
        </w:rPr>
        <w:t>E. 20</w:t>
      </w:r>
    </w:p>
    <w:p>
      <w:r>
        <w:t>septembre 2023 rejetant la requête de suspension de la procédure déposée par A.________ et B.________ le 11 septembre 2023 est confirmée. II. La requête d’effet suspensif est sans objet. III. Les frais de la procédure de recours sont mis à la charge de A.________ et B.________. Ils comprennent les frais judiciaires dus à l’Etat, fixés à CHF 500.-, qui seront prélevés sur l’avance de frais.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2023/cle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