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187 vom 13. Oktober 2023</w:t>
      </w:r>
    </w:p>
    <w:p>
      <w:r>
        <w:t>FR Kantonsgericht, 2023-10-13, FR</w:t>
      </w:r>
    </w:p>
    <w:p>
      <w:r>
        <w:rPr>
          <w:b/>
        </w:rPr>
        <w:t xml:space="preserve">Quelle: </w:t>
      </w:r>
      <w:r>
        <w:t>https://mcp.opencaselaw.ch/entscheid/fr_gerichte_102_2023_187</w:t>
      </w:r>
    </w:p>
    <w:p>
      <w:r>
        <w:t>FR: FR_GERICHTE 102 2023 187 du 13 octobre 2023</w:t>
      </w:r>
    </w:p>
    <w:p>
      <w:r>
        <w:t>IT: FR_GERICHTE 102 2023 187 del 13 ottobre 2023</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manifestement inférieure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w:t>
      </w:r>
    </w:p>
    <w:p>
      <w:r>
        <w:t>Tribunal cantonal TC Page 3 de 4 procédure de mainlevée n’est pas visée par cette réserve. L’interdiction des faits nouveaux s’applique également à la partie adverse (cf. arrêt TF 5A_950/2014 du 16 avril 2015 consid. 3.5). La recourante a produit, au stade du recours seulement, différentes pièces qui ne figuraient pas dans le dossier de première instance, notamment l’acte de cession mentionné dans le jugement attaqué. Ces nouveaux moyens, tardifs au regard de l’art. 326 al. 1 CPC, sont irrecevables. Il n’en sera dès lors pas tenu compte et la Cour statuera sur la base des allégués et des pièces produites en première instance.</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se fonde sur des preuves nouvelles, dont le premier juge n’avait pas connaissance au moment de prononcer la décision de mainlevée litigieuse (cf. supra consid. 1.3.). Certes, la recourante expose en quoi le premier juge a eu tort de rejeter sa requête de mainlevée, mais sa critique étant appuyée par des pièces dont le premier juge n’avait pas connaissance, l’on doit constater que le recours est manifestement mal fondé, la décision attaquée ne comportant en définitive aucune erreur que ce soit dans l’application du droit et/ou dans sa justification en fait. Dans ces conditions, le recours sera rejeté sans échange d’écritures (art. 322 al. 1 CPC).</w:t>
      </w:r>
    </w:p>
    <w:p>
      <w:r>
        <w:rPr>
          <w:b/>
        </w:rPr>
        <w:t>E. 3</w:t>
      </w:r>
    </w:p>
    <w:p>
      <w:r>
        <w:t>Les frais de la procédure de recours sont mis à la charge de la recourante, qui succombe (art. 106 al. 1 CPC).</w:t>
      </w:r>
    </w:p>
    <w:p>
      <w:r>
        <w:rPr>
          <w:b/>
        </w:rPr>
        <w:t>E. 3.1</w:t>
      </w:r>
    </w:p>
    <w:p>
      <w:r>
        <w:t>Ils comprennent les frais judiciaires, fixés forfaitairement à CHF 300.- (art. 48 et 61 al. 1 OELP), qui seront prélevés sur l’avance de frais du même montant effectuée le 6 octobre 2023.</w:t>
      </w:r>
    </w:p>
    <w:p>
      <w:r>
        <w:rPr>
          <w:b/>
        </w:rPr>
        <w:t>E. 3.2</w:t>
      </w:r>
    </w:p>
    <w:p>
      <w:r>
        <w:t>Il n'est pas alloué de dépens à l’intimé, qui n’a pas été invité à se déterminer sur le recours, conformément au prescrit de l’art. 322 al. 1 CPC. (dispositif en page suivante)</w:t>
      </w:r>
    </w:p>
    <w:p>
      <w:r>
        <w:t>Tribunal cantonal TC Page 4 de 4 la Cour arrête : I. Le recours est rejeté. II. Les frais de la procédure de recours sont mis à la charge de A.________. Les frais judiciaires sont fixés à CHF 300.- et seront prélevés sur l’avance de frais du même montant effectuée le 6 octobre 2023.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octobre 2023/cov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