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178 vom 18. September 2023</w:t>
      </w:r>
    </w:p>
    <w:p>
      <w:r>
        <w:t>FR Kantonsgericht, 2023-09-18, FR</w:t>
      </w:r>
    </w:p>
    <w:p>
      <w:r>
        <w:rPr>
          <w:b/>
        </w:rPr>
        <w:t xml:space="preserve">Quelle: </w:t>
      </w:r>
      <w:r>
        <w:t>https://mcp.opencaselaw.ch/entscheid/fr_gerichte_102_2023_178</w:t>
      </w:r>
    </w:p>
    <w:p>
      <w:r>
        <w:t>FR: FR_GERICHTE 102 2023 178 du 18 septembre 2023</w:t>
      </w:r>
    </w:p>
    <w:p>
      <w:r>
        <w:t>IT: FR_GERICHTE 102 2023 178 del 18 settembre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28 août 2023.</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w:t>
      </w:r>
    </w:p>
    <w:p>
      <w:r>
        <w:rPr>
          <w:b/>
        </w:rPr>
        <w:t>E. 2.2</w:t>
      </w:r>
    </w:p>
    <w:p>
      <w:r>
        <w:t>La recourante promet de payer de suite les deux poursuites objet de la commination de faillite et allègue qu’elle attend l’encaissement de diverses factures. Cependant, elle n’allègue pas, ni ne produit aucun titre attestant que la dette faisant l'objet de la procédure de mise en faillite a été payée, que la totalité du montant à rembourser a été déposée auprès du Tribunal cantonal ou que la poursuivante a retiré sa réquisition de faillite, de sorte que les conditions de l’art. 174 al. 2 LP ne sont pas remplies. Le recours, manifestement infondé, est ainsi rejeté sans échange d'écritures (art. 322 al. 1 CPC).</w:t>
      </w:r>
    </w:p>
    <w:p>
      <w:r>
        <w:t>Tribunal cantonal TC Page 3 de 3</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fond du recours.</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n'y a pas lieu d'allouer d’équitable indemnité de partie à l’intimée, dès lors qu’elle n’a pas été invitée à se déterminer sur le recours. la Cour arrête : I. Manifestement infondé, le recours est rejeté. Partant, la décision de faillite rendue le 21 août 2023 (cause no 10 2023 995) par le Président du Tribunal civil de l'arrondissement de la Gruyère est confirmée. II. La requête d’effet suspensif est sans objet. III. Les frais judiciaires de la procédure de recours, fixés à CHF 500.-, sont mis à la charge de A.________ Sàrl en liquidation.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septembre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