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142 vom 16. August 2023</w:t>
      </w:r>
    </w:p>
    <w:p>
      <w:r>
        <w:t>FR Kantonsgericht, 2023-08-16, FR</w:t>
      </w:r>
    </w:p>
    <w:p>
      <w:r>
        <w:rPr>
          <w:b/>
        </w:rPr>
        <w:t xml:space="preserve">Quelle: </w:t>
      </w:r>
      <w:r>
        <w:t>https://mcp.opencaselaw.ch/entscheid/fr_gerichte_102_2023_142</w:t>
      </w:r>
    </w:p>
    <w:p>
      <w:r>
        <w:t>FR: FR_GERICHTE 102 2023 142 du 16 août 2023</w:t>
      </w:r>
    </w:p>
    <w:p>
      <w:r>
        <w:t>IT: FR_GERICHTE 102 2023 142 del 16 agosto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17 juillet 2023, si bien que le recours du 18 juillet 2023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 les frais de justice des procédures sommaires du pur droit des poursuites au sens de l’art. 25 al. 2 LP ainsi que ceux du juge de la faillite en font également</w:t>
      </w:r>
    </w:p>
    <w:p>
      <w:r>
        <w:t>Tribunal cantonal TC Page 3 de 4 partie (ATF 133 III 687 consid. 2.3 / JdT 2007 II 62 ; arrêt TF 5A_829/2014 du 9 février 2015 consid. 3.3 ; BSK SchKG II – GIROUD/SIMONI, 3ème éd. 2021, art. 174 n. 21c).</w:t>
      </w:r>
    </w:p>
    <w:p>
      <w:r>
        <w:rPr>
          <w:b/>
        </w:rPr>
        <w:t>E. 2.2</w:t>
      </w:r>
    </w:p>
    <w:p>
      <w:r>
        <w:t>En l'espèce, dans la citation à comparaître à l’audience de faillite de première instance, le recourant a été invité à payer le montant total de CHF 13'276.60, frais de procédure compris, pour éviter la faillite. Aucun montant n’a cependant été versé. La dette de CHF 13'276.60 n’est toujours pas réglée et le recourant n’a effectué aucun dépôt de faillite auprès du greffe du Tribunal cantonal dans le délai de recours. La première condition posée par l'art. 174 al. 2 ch. 2 LP, soit le paiement de la dette, intérêts et frais compris, n’est ainsi pas remplie, de sorte que la faillite doit être confirmée, ce qui scelle déjà le sort du recours.</w:t>
      </w:r>
    </w:p>
    <w:p>
      <w:r>
        <w:rPr>
          <w:b/>
        </w:rPr>
        <w:t>E. 2.3</w:t>
      </w:r>
    </w:p>
    <w:p>
      <w:r>
        <w:t>Au surplus, il ressort de la liste des affaires en cours établie par l’Office des poursuites de la Gruyère que le recourant fait l’objet de plusieurs poursuites pour le montant total de CHF 34'173.05, dont sept se trouvent au stade de la commination de faillite et trois au stade de la saisie. De plus, le recourant admet lui-même dans son recours qu’il n’a pas de liquidités ni d’actifs. Par conséquent, le recourant n’a pas rendu vraisemblable sa solvabilité non plus. Partant, le recours doit être rejeté et la faillite prononcée en première instance confirmée.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OELP).</w:t>
      </w:r>
    </w:p>
    <w:p>
      <w:r>
        <w:rPr>
          <w:b/>
        </w:rPr>
        <w:t>E. 4.2</w:t>
      </w:r>
    </w:p>
    <w:p>
      <w:r>
        <w:t>Il n’est pas alloué de dépens à l’intimée, qui n’en a pas requis. (dispositif en page suivante)</w:t>
      </w:r>
    </w:p>
    <w:p>
      <w:r>
        <w:t>Tribunal cantonal TC Page 4 de 4 la Cour arrête : I. Le recours est rejeté. Partant, la décision de faillite rendue le 7 juillet 2023 (cause n°ddd) par la Présidente du Tribunal civil de l’arrondissement de la Gruyère à l’encontre de A.________ est confirmée. II. Les frais judiciaires de la procédure de recours, fixés à CHF 500.-,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