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139 vom 22. August 2023</w:t>
      </w:r>
    </w:p>
    <w:p>
      <w:r>
        <w:t>FR Kantonsgericht, 2023-08-22, FR</w:t>
      </w:r>
    </w:p>
    <w:p>
      <w:r>
        <w:rPr>
          <w:b/>
        </w:rPr>
        <w:t xml:space="preserve">Quelle: </w:t>
      </w:r>
      <w:r>
        <w:t>https://mcp.opencaselaw.ch/entscheid/fr_gerichte_102_2023_139</w:t>
      </w:r>
    </w:p>
    <w:p>
      <w:r>
        <w:t>FR: FR_GERICHTE 102 2023 139 du 22 août 2023</w:t>
      </w:r>
    </w:p>
    <w:p>
      <w:r>
        <w:t>IT: FR_GERICHTE 102 2023 139 del 22 agosto 2023</w:t>
      </w:r>
    </w:p>
    <w:p>
      <w:pPr>
        <w:pStyle w:val="Heading2"/>
      </w:pPr>
      <w:r>
        <w:t>Regeste</w:t>
      </w:r>
    </w:p>
    <w:p>
      <w:r>
        <w:t>Arrêt de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3e éd. 2021, art. 174 n. 26);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w:t>
      </w:r>
    </w:p>
    <w:p>
      <w:r>
        <w:t>Tribunal cantonal TC Page 3 de 4</w:t>
      </w:r>
    </w:p>
    <w:p>
      <w:r>
        <w:rPr>
          <w:b/>
        </w:rPr>
        <w:t>E. 2.2</w:t>
      </w:r>
    </w:p>
    <w:p>
      <w:r>
        <w:t>En l'espèce, la poursuivante a retiré sa poursuite – et, par voie de conséquence, sa requête de faillite – par courrier du 17 juillet 2023 (pièce 11), si bien que la première condition posée par l'art. 174 al. 2 ch. 2 LP est remplie. De plus, la recourante a versé le montant de CHF 20’000.- au greffe du Tribunal cantonal le 17 juillet 2023. Ce montant couvre les autres poursuites encore en cours (CHF 19'093.20), selon l’extrait qu’elle a produit au dossier, confirmé par la liste des affaires en cours produite le 21 août 2023 par l’Office des poursuites à la demande de la Cour. Elle semble ainsi n’avoir plus d’autres poursuites en cours ni d’actes de défaut de biens. Il y a dès lors lieu d’admettre que les conditions posées par l’art. 174 al. 2 LP sont remplies et que le recours doit être admis. Après déduction des frais judiciaires de la procédure de recours (cf. infra consid. 3), le solde du montant de CHF 20’000.- consigné auprès du Tribunal cantonal, soit CHF 19'500.- (ibidem), sera transmis sans délai à l’Office des poursuites de la Sarine afin qu'il l’affecte prioritairement au remboursement des poursuites en cours, y compris les frais judiciaires de première instance, par CHF 240.-.</w:t>
      </w:r>
    </w:p>
    <w:p>
      <w:r>
        <w:rPr>
          <w:b/>
        </w:rPr>
        <w:t>E. 3</w:t>
      </w:r>
    </w:p>
    <w:p>
      <w:r>
        <w:t>juillet 2023 prononçant la faillite de A.________ SA en liquidation est annulée. II. Le montant de CHF 19’500.- consigné au greffe du Tribunal cantonal est transmis sans délai à l'Office des poursuites de la Sarine selon les considérants. III. Les frais judiciaires des deux instances sont mis à la charge de A.________ SA en liquidation. Les frais judiciaires de première instance s’élèvent à CHF 240.-; ils seront prélevés sur l'avance de frais effectuée par B.________, qui sera remboursée par l’Office des poursuites de la Sarine sur le montant de CHF 19’500.- (cf. supra ch. II.). Le solde de l'avance de frais sera restitué à B.________. L'émolument global est fixé à CHF 500.- pour la seconde instance; il est prélevé sur le montant consigné au greffe du Tribunal cantonal. IV.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août 2023/lda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