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100 vom 13. Juli 2023</w:t>
      </w:r>
    </w:p>
    <w:p>
      <w:r>
        <w:t>FR Kantonsgericht, 2023-07-13, FR</w:t>
      </w:r>
    </w:p>
    <w:p>
      <w:r>
        <w:rPr>
          <w:b/>
        </w:rPr>
        <w:t xml:space="preserve">Quelle: </w:t>
      </w:r>
      <w:r>
        <w:t>https://mcp.opencaselaw.ch/entscheid/fr_gerichte_102_2023_100</w:t>
      </w:r>
    </w:p>
    <w:p>
      <w:r>
        <w:t>FR: FR_GERICHTE 102 2023 100 du 13 juillet 2023</w:t>
      </w:r>
    </w:p>
    <w:p>
      <w:r>
        <w:t>IT: FR_GERICHTE 102 2023 100 del 13 luglio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si bien que seule la voie du recours constitutionnel subsidiaire au Tribunal fédéral est ouverte, cas échéant (art. 74 al. 1 let. a a contrario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le recourant a produit, au stade du recours seulement, différentes pièces qui ne figuraient pas dans le dossier de première instance, parmi lesquelles figure l’état des lieux de sortie du 25 août 2022 signé par l’opposant. Il se prévaut par ailleurs d’allégués nouveaux en relation avec ces pièces. Ces nouveaux moyens, tardifs au regard de l’art. 326 al. 1 CPC, sont irrecevables. Il n’en sera dès lors pas tenu compte et la Cour statuera sur la base des allégués et des pièces produites en première instance.</w:t>
      </w:r>
    </w:p>
    <w:p>
      <w:r>
        <w:rPr>
          <w:b/>
        </w:rPr>
        <w:t>E. 2.1</w:t>
      </w:r>
    </w:p>
    <w:p>
      <w:r>
        <w:t>En vertu de l'art. 321 al. 1 CPC, le recours doit être motivé, ce qui suppose de démontrer le caractère erroné de la motivation attaquée, sous peine d'irrecevabilité; pour satisfaire à cette</w:t>
      </w:r>
    </w:p>
    <w:p>
      <w:r>
        <w:t>Tribunal cantonal TC Page 3 de 5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dès lors que le recourant articule toute son argumentation autour d’allégations de faits et de preuves nouvelles. Ce faisant, il exerce à l'encontre des constatations de fait de la décision attaquée une critique purement appellatoire qui, pour mémoire (cf. supra consid. 1.3.), est irrecevable dans le cadre de la présente procédure. En tout état de cause, il n’expose pas en quoi le premier juge aurait eu tort de refuser de prononcer la mainlevée provisoire de l’opposition formée par C.________ – motif pris qu’aucune reconnaissance de dette n’a été produite par le requérant – et ne formule aucune critique à l'encontre du contenu de la décision querellée elle- même, ne remettant pas en cause la motivation de la Présidente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w:t>
      </w:r>
    </w:p>
    <w:p>
      <w:r>
        <w:t>Tribunal cantonal TC Page 4 de 5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3ème éd., 2021,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3.2</w:t>
      </w:r>
    </w:p>
    <w:p>
      <w:r>
        <w:t>En l’espèce, la Présidente a considéré et retenu qu’aucune des pièces produites par le requérant ne constitue une reconnaissance de dette au sens de l’art. 82 LP, dès lors qu’aucune d’entre elles n’est signée par l’opposant (cf. décision attaquée, p. 2). Le recourant ne le conteste pas, mais se borne à produire différentes pièces qui ne figuraient pas dans le dossier de première instance, parmi lesquelles figure l’état des lieux de sortie du 25 août 2022 signé par l’opposant. Or, comme relevé précédemment (cf. supra consid. 1.3.), il s’agit là de moyens nouveaux qui sont irrecevables au stade du recours, étant souligné ici que l’opposant n’avait déposé aucune pièce signée par le poursuivi en première instance. Dans ces circonstances, la procédure de mainlevée étant une procédure sur titre qui s’accompagne d’un formalisme certain, c’est à juste titre que la Présidente a refusé de prononcer la mainlevée provisoire de l’opposition formée par C.________, motif pris qu’aucune reconnaissance de dette au sens de l’art. 82 LP n’a été produite par le créancier poursuivant.</w:t>
      </w:r>
    </w:p>
    <w:p>
      <w:r>
        <w:rPr>
          <w:b/>
        </w:rPr>
        <w:t>E. 4.1</w:t>
      </w:r>
    </w:p>
    <w:p>
      <w:r>
        <w:t>Les frais de la procédure de recours doivent être mis à la charge du recourant, qui succombe (art. 106 al. 1 CPC). Ils comprennent les frais judiciaires, fixés forfaitairement à CHF 250.- (art. 48 et 61 al. 1 OELP). Ceux-ci seront prélevés sur l’avance de frais du même montant effectuée le 16 juin 2023.</w:t>
      </w:r>
    </w:p>
    <w:p>
      <w:r>
        <w:rPr>
          <w:b/>
        </w:rPr>
        <w:t>E. 4.2</w:t>
      </w:r>
    </w:p>
    <w:p>
      <w:r>
        <w:t>Il n'est pas alloué de dépens à l’intimé, qui n’a pas été invité à se déterminer sur le recours, conformément au prescrit de l’art. 322 al. 1 CPC. (dispositif en page suivante)</w:t>
      </w:r>
    </w:p>
    <w:p>
      <w:r>
        <w:t>Tribunal cantonal TC Page 5 de 5 la Cour arrête: I. Le recours est irrecevable. II. Les frais de la procédure de recours sont mis à la charge de A.________. Les frais judiciaires sont fixés à CHF 250.-. Ils seront prélevés sur l’avance de frais effectuée.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juillet 2023/lda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