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94 vom 29. Juni 2022</w:t>
      </w:r>
    </w:p>
    <w:p>
      <w:r>
        <w:t>FR Kantonsgericht, 2022-06-29, FR</w:t>
      </w:r>
    </w:p>
    <w:p>
      <w:r>
        <w:rPr>
          <w:b/>
        </w:rPr>
        <w:t xml:space="preserve">Quelle: </w:t>
      </w:r>
      <w:r>
        <w:t>https://mcp.opencaselaw.ch/entscheid/fr_gerichte_102_2022_94</w:t>
      </w:r>
    </w:p>
    <w:p>
      <w:r>
        <w:t>FR: FR_GERICHTE 102 2022 94 du 29 juin 2022</w:t>
      </w:r>
    </w:p>
    <w:p>
      <w:r>
        <w:t>IT: FR_GERICHTE 102 2022 94 del 29 giugno 2022</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630, 1701 Fribourg T +41 26 304 15 00 tribunalcantonal@fr.ch www.fr.ch/tc — Pouvoir Judiciaire PJ Gerichtsbehörden GB 102 2022 94 Arrêt du 29 juin 2022 IIe Cour d’appel civil Composition Vice-Président : Michel Favre Greffière-rapporteure : Sandra Ayan-Mantelli Parties A.________, opposant et recourant, contre B.________, requérant et intimé, représenté par C.________ Objet Mainlevée - irrecevabilité Recours du 13 juin 2022 contre la décision du Président du Tribunal civil de l'arrondissement de la Sarine du 30 mai 2022</w:t>
      </w:r>
    </w:p>
    <w:p>
      <w:r>
        <w:t>Tribunal cantonal TC Page 2 de 3 attendu que, par décision du 30 mai 2022, le Président du Tribunal civil de l’arrondissement de la Sarine (ci- après : le Président) a prononcé la mainlevée définitive de l’opposition formée par A.________ au commandement de payer n° ddd de l’Office des poursuites de la Sarine notifié à l’instance de B.________ pour le montant de CHF 18’700.- avec intérêt à 5 % l’an dès le 1er décembre 2020, correspondant à des pensions alimentaires dues pour la période du 1er mars 2019 au 31 décembre 2020 selon l’arrêt du 3 novembre 2020 de la Ie Cour d’appel civil, ainsi que pour les frais de poursuite et les frais de la décision, frais judiciaires à la charge de l’opposant; que, par courrier du 13 juin 2022, A.________ a interjeté un recours contre cette décision; que son recours respecte certes le délai de 10 jours pour son introduction (art. 321 al. 2 CPC), mais ne contient pas de motivation suffisante (art. 321 al. 1 CPC), le recourant n’exposant aucune critique motivée à l’encontre de la décision querellée; qu'en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qu’en l’espèce, force est de constater que le recourant ne critique aucunement les motifs pertinents du Président; en effet, il n’allègue pas le moindre grief motivé à l’encontre de la décision attaquée, se bornant à indiquer qu’il n’est pas en mesure de payer le montant en poursuite mais qu’il peut s’acquitter d’un montant de CHF 20.-, voire CHF 50.- par mois; il ne critique en revanche pas l’existence d’un titre de mainlevée définitive et l’absence de moyen libératoire; à défaut de répondre aux exigences de motivation posées par l’art. 321 al. 1 CPC, le recours doit être déclaré irrecevable; que cette irrecevabilité manifeste doit être prononcée avant tout échange d'écritures (art. 322 al. 1 CPC); que la situation financière du débiteur devra être prise en compte lors de l’exécution de la décision; que les frais sont mis à la charge du recourant, qui succombe (art. 106 al. 1 CPC); qu’ils comprennent les frais judiciaires, fixés forfaitairement à CHF 200.- (art. 48 et 61 al. 1 OELP); qu’il n’est pas alloué de dépens;</w:t>
      </w:r>
    </w:p>
    <w:p>
      <w:r>
        <w:t>Tribunal cantonal TC Page 3 de 3 la Cour arrête : I. Le recours est irrecevable. II. Les frais de la procédure de recours sont mis à la charge de A.________. Les frais judiciaires sont fixés à CHF 200.-.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29 juin 2022/say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