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7 vom 7. Februar 2022</w:t>
      </w:r>
    </w:p>
    <w:p>
      <w:r>
        <w:t>FR Kantonsgericht, 2022-02-07, FR</w:t>
      </w:r>
    </w:p>
    <w:p>
      <w:r>
        <w:rPr>
          <w:b/>
        </w:rPr>
        <w:t xml:space="preserve">Quelle: </w:t>
      </w:r>
      <w:r>
        <w:t>https://mcp.opencaselaw.ch/entscheid/fr_gerichte_102_2022_7</w:t>
      </w:r>
    </w:p>
    <w:p>
      <w:r>
        <w:t>FR: FR_GERICHTE 102 2022 7 du 7 février 2022</w:t>
      </w:r>
    </w:p>
    <w:p>
      <w:r>
        <w:t>IT: FR_GERICHTE 102 2022 7 del 7 febbraio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211.20.</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w:t>
      </w:r>
    </w:p>
    <w:p>
      <w:r>
        <w:t>Tribunal cantonal TC Page 3 de 4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dès lors que l’intéressé se borne essentiellement à porter des accusations sans fondement à l’encontre du premier juge et du pouvoir judiciaire en général, par le biais de propos virulents, comprenant des digressions sur des faits et événements qui sont dépourvus de lien avec la mainlevée litigieuse. Ce faisant, à aucun moment il ne tente de critiquer la motivation de la Présidente, si bien qu’à défaut de répondre aux exigences de motivation posées par l’art. 321 al. 1 CPC, le recours doit être déclaré irrecevable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(ATF 115 III 97 consid. 4; arrêt TF 5P.459/2002 du 29 janvier 2003, consid. 2.2 et réf. citées).</w:t>
      </w:r>
    </w:p>
    <w:p>
      <w:r>
        <w:rPr>
          <w:b/>
        </w:rPr>
        <w:t>E. 3.2</w:t>
      </w:r>
    </w:p>
    <w:p>
      <w:r>
        <w:t>En l’espèce, dès lors que la créancière poursuivante avait produit un titre exécutoire et que le débiteur poursuivi n’a pas établi par titre avoir payé sa dette (art. 81 al. 1 LP), la mainlevée définitive devait être prononcée.</w:t>
      </w:r>
    </w:p>
    <w:p>
      <w:r>
        <w:t>Tribunal cantonal TC Page 4 de 4</w:t>
      </w:r>
    </w:p>
    <w:p>
      <w:r>
        <w:rPr>
          <w:b/>
        </w:rPr>
        <w:t>E. 4.1</w:t>
      </w:r>
    </w:p>
    <w:p>
      <w:r>
        <w:t>Les frais de la procédure de recours doivent être mis à la charge de A.________, qui succombe (art. 106 al. 1 CPC). Ils comprennent les frais judiciaires, fixés forfaitairement à CHF 200.- (art. 48 et 61 al. 1 OELP).</w:t>
      </w:r>
    </w:p>
    <w:p>
      <w:r>
        <w:rPr>
          <w:b/>
        </w:rPr>
        <w:t>E. 4.2</w:t>
      </w:r>
    </w:p>
    <w:p>
      <w:r>
        <w:t>Dans la mesure où l’intimée n’a pas été invitée à se déterminer sur le recours, conformément au prescrit de l’art. 322 al. 1 CPC, il ne lui sera pas alloué de dépens. la Cour arrête: I. Le recours est irrecevable.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février 2022/lda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