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68 vom 12. Juli 2022</w:t>
      </w:r>
    </w:p>
    <w:p>
      <w:r>
        <w:t>FR Kantonsgericht, 2022-07-12, FR</w:t>
      </w:r>
    </w:p>
    <w:p>
      <w:r>
        <w:rPr>
          <w:b/>
        </w:rPr>
        <w:t xml:space="preserve">Quelle: </w:t>
      </w:r>
      <w:r>
        <w:t>https://mcp.opencaselaw.ch/entscheid/fr_gerichte_102_2022_68</w:t>
      </w:r>
    </w:p>
    <w:p>
      <w:r>
        <w:t>FR: FR_GERICHTE 102 2022 68 du 12 juillet 2022</w:t>
      </w:r>
    </w:p>
    <w:p>
      <w:r>
        <w:t>IT: FR_GERICHTE 102 2022 68 del 12 luglio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Au vu de ce qui précède, le décompte d’opérations n°ddd de l’Office des poursuites de la Glâne, produit par A.________ pour la première fois à l’appui de son recours, est irrecevable. Il n’en sera dès lors pas tenu compte et la Cour statuera sur la base des pièces produites en première instance.</w:t>
      </w:r>
    </w:p>
    <w:p>
      <w:r>
        <w:rPr>
          <w:b/>
        </w:rPr>
        <w:t>E. 1.3</w:t>
      </w:r>
    </w:p>
    <w:p>
      <w:r>
        <w:t>La valeur litigieuse est inférieure à CHF 30'000.- (cf. art. 51 al. 1 let. a art. 74 al. 1 let. b LTF).</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w:t>
      </w:r>
    </w:p>
    <w:p>
      <w:r>
        <w:t>Tribunal cantonal TC Page 3 de 4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 Conformément à la jurisprudence récente du Tribunal fédéral, la mainlevée définitive de l’opposition ne peut être accordée que pour les créances figurant dans le dispositif de la décision valant titre de mainlevée. Elle ne peut inclure les émoluments de recouvrement prévus dans une base légale ou réglementaire. Ni la loi ni le règlement ne peuvent remplacer le titre de mainlevée. Pour obtenir la mainlevée définitive des émoluments, tels que les frais de sommation postérieurs à la poursuite ou d’introduction de la poursuite, l'autorité administrative de recouvrement doit rendre une décision indépendante pour les émoluments ou prévoir dans le dispositif de sa décision initiale que le paiement d'éventuels frais supplémentaires, déterminés et chiffrés, est dû de manière conditionnelle en cas d'inexécution (cf. arrêt TF 5A_825/2021 du 31 mars 2022 consid. 4.2.2 et 4.2.4).</w:t>
      </w:r>
    </w:p>
    <w:p>
      <w:r>
        <w:rPr>
          <w:b/>
        </w:rPr>
        <w:t>E. 2.2</w:t>
      </w:r>
    </w:p>
    <w:p>
      <w:r>
        <w:t>En l’espèce, dès lors que la décision administrative qui fait l’objet du commandement de payer réclame à B.________ SA le paiement d’une amende de CHF 300.- et que A.________ admet que cette somme a d’ores et déjà été payée, la mainlevée définitive de l’opposition devait être rejetée. En effet, la mainlevée de l’opposition peut uniquement être accordée aux créances figurant dans le dispositif de la décision valant titre de mainlevée. Or, à la lecture du prononcé d’amende 2019 du 6 novembre 2020, les frais de contentieux et du commandement de payer ne sont pas mentionnés. Seul le montant de CHF 300.- y figure. Quant au décompte d’intérêts et frais du 12 octobre 2021, qui réclame à la débitrice la somme de CHF 114.90 pour les frais de procédure de poursuite, A.________ ne saurait s’en prévaloir. Bien que cette décision soit définitive et exécutoire, celle-ci a été prononcée après l’introduction de la poursuite n°ccc, ce qui explique au demeurant que les montants réclamés ne correspondent pas au contenu du commandement de payer du 17 juin 2021. Il constituera en revanche un titre de mainlevée suffisant pour une nouvelle poursuite relative à ce montant dirigée contre la débitrice. Partant, le recours doit être rejeté dans la mesure où il est manifestement mal fondé.</w:t>
      </w:r>
    </w:p>
    <w:p>
      <w:r>
        <w:rPr>
          <w:b/>
        </w:rPr>
        <w:t>E. 3</w:t>
      </w:r>
    </w:p>
    <w:p>
      <w:r>
        <w:t>Les frais de la procédure de recours sont mis à la charge de A.________, qui succombe (art. 106 al. 1 CPC). Ils comprennent les frais judiciaires, fixés forfaitairement à CHF 100.- (art. 48 et 61 al. 1 OELP). Ils seront prélevés sur l’avance de frais versée le 28 avril 2022. Il n’est pas alloué de dépens.</w:t>
      </w:r>
    </w:p>
    <w:p>
      <w:r>
        <w:t>Tribunal cantonal TC Page 4 de 4 la Cour arrête : I. Le recours est rejeté. Partant, la décision du Président du Tribunal civil d’arrondissement de la Glâne du 5 avril 2022 est confirmée. II. Les frais de la procédure de recours, fixés à CHF 100.-, sont mis à la charge de A.________ et prélevés sur l’avance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juillet 2022/sag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