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64 vom 5. Mai 2022</w:t>
      </w:r>
    </w:p>
    <w:p>
      <w:r>
        <w:t>FR Kantonsgericht, 2022-05-05, FR</w:t>
      </w:r>
    </w:p>
    <w:p>
      <w:r>
        <w:rPr>
          <w:b/>
        </w:rPr>
        <w:t xml:space="preserve">Quelle: </w:t>
      </w:r>
      <w:r>
        <w:t>https://mcp.opencaselaw.ch/entscheid/fr_gerichte_102_2022_64</w:t>
      </w:r>
    </w:p>
    <w:p>
      <w:r>
        <w:t>FR: FR_GERICHTE 102 2022 64 du 5 mai 2022</w:t>
      </w:r>
    </w:p>
    <w:p>
      <w:r>
        <w:t>IT: FR_GERICHTE 102 2022 64 del 5 maggio 2022</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w:t>
      </w:r>
    </w:p>
    <w:p>
      <w:r>
        <w:rPr>
          <w:b/>
        </w:rPr>
        <w:t>E. 1.2</w:t>
      </w:r>
    </w:p>
    <w:p>
      <w:r>
        <w:t>La Cour statue sans débats (art. 327 al. 2 CPC). La cognition de la Cour d’appel est pleine et entière en droit ; s’agissant des faits, elle est limitée à leur constatation manifestement inexacte (art. 320 CPC).</w:t>
      </w:r>
    </w:p>
    <w:p>
      <w:r>
        <w:rPr>
          <w:b/>
        </w:rPr>
        <w:t>E. 1.3.1</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 arrêt TC FR 102 2020 33 du 19 mars 2020 consid. 1.3)</w:t>
      </w:r>
    </w:p>
    <w:p>
      <w:r>
        <w:t>Tribunal cantonal TC Page 3 de 4</w:t>
      </w:r>
    </w:p>
    <w:p>
      <w:r>
        <w:rPr>
          <w:b/>
        </w:rPr>
        <w:t>E. 1.3.2</w:t>
      </w:r>
    </w:p>
    <w:p>
      <w:r>
        <w:t>En l'espèce, la recourante a produit en procédure de recours des échanges de mails qu’elle a notamment entretenus avec l’intimée. Ces pièces n'ayant pas été produites en première instance, elles sont apportées tardivement au regard de l’art. 326 al. 1 CPC et sont par conséquent irrecevables. Il n'en sera dès lors pas tenu compte et la Cour statuera sur la base des pièces produites en première instance.</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précité l’acte signé par le poursuivi – ou son représentant (ATF 130 III 87 consid. 3.1)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(arrêt TC FR 102 2020 4 du 20 février 2020 consid. 3.1).</w:t>
      </w:r>
    </w:p>
    <w:p>
      <w:r>
        <w:rPr>
          <w:b/>
        </w:rPr>
        <w:t>E. 2.2</w:t>
      </w:r>
    </w:p>
    <w:p>
      <w:r>
        <w:t>En l'espèce, la Présidente a constaté que la facture no eee d’un montant de CHF 1'596.10 se rapportait au calcul des heures non comptabilisées du fait que la femme de ménage travaillant dans le ménage de l’intimée ne pouvait pas prendre les pauses de 5 minutes par heure de travail comme prévu dans les conditions générales et ceci depuis le début de la relation de travail. Elle a retenu que la recourante n’avait aucunement établi que la femme de ménage en question n’avait pas pu prendre sa pause pendant 6 ans et que le montant de CHF 1'596.10 était dû. La recourante ne le conteste pas et la Cour constate que celle-ci n'a produit aucun document rendant sa prétendue créance vraisemblable. Il n’y a au demeurant aucun document signé comportant l'accord de la débitrice de lui verser un montant déterminé, de sorte que la mainlevée provisoire de l'opposition ne pouvait être prononcée. Quant aux documents produits à l'appui du recours, ils sont irrecevables (cf. consid. 1.3.2 ci-avant). De toute manière, ils ne prouvent pas non plus qu’un montant de CHF 1'596.10 est dû. Partant, le rejet de la requête de la mainlevée provisoire pour le montant de CHF 1'596.10 ne prête le flanc à la critique. Le recours est manifestement mal fondé et il s'ensuit son rejet.</w:t>
      </w:r>
    </w:p>
    <w:p>
      <w:r>
        <w:rPr>
          <w:b/>
        </w:rPr>
        <w:t>E. 3</w:t>
      </w:r>
    </w:p>
    <w:p>
      <w:r>
        <w:t>En application de l'art. 106 al. 1 CPC, les frais judiciaires de la procédure de recours, fixés à CHF 200.-, doivent être mis à la charge de la recourante, qui succombe. Il n'est pas alloué de dépens à l'intimée, qui n'a pas été invitée à se déterminer.</w:t>
      </w:r>
    </w:p>
    <w:p>
      <w:r>
        <w:t>Tribunal cantonal TC Page 4 de 4 la Cour arrête : I. Le recours est rejeté. Partant, la décision de la Présidente du Tribunal civil de l’arrondissement du Lac du 31 mars 2022 est confirmée. II. Les frais judiciaires de la procédure de recours sont mis à la charge de A.________ Sàrl. Ils sont fixés à CHF 200.- et prélevés sur l’avance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mai 2022/mdu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