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39 vom 28. März 2022</w:t>
      </w:r>
    </w:p>
    <w:p>
      <w:r>
        <w:t>FR Kantonsgericht, 2022-03-28, FR</w:t>
      </w:r>
    </w:p>
    <w:p>
      <w:r>
        <w:rPr>
          <w:b/>
        </w:rPr>
        <w:t xml:space="preserve">Quelle: </w:t>
      </w:r>
      <w:r>
        <w:t>https://mcp.opencaselaw.ch/entscheid/fr_gerichte_102_2022_39</w:t>
      </w:r>
    </w:p>
    <w:p>
      <w:r>
        <w:t>FR: FR_GERICHTE 102 2022 39 du 28 mars 2022</w:t>
      </w:r>
    </w:p>
    <w:p>
      <w:r>
        <w:t>IT: FR_GERICHTE 102 2022 39 del 28 marzo 2022</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la recourante a respecté. La Cour statue sans débats (art. 327 al. 2 CPC). La cognition de la Cour d’appel est pleine et entière en droit; s’agissant des faits, elle est limitée à leur constatation manifestement inexacte (art. 320 CPC).</w:t>
      </w:r>
    </w:p>
    <w:p>
      <w:r>
        <w:rPr>
          <w:b/>
        </w:rPr>
        <w:t>E. 1.2</w:t>
      </w:r>
    </w:p>
    <w:p>
      <w:r>
        <w:t>La valeur litigieuse est manifestement inférieure à CHF 30'000.- (cf. art. 51 al. 1 let. a art. 74 al. 1 let. b LTF).</w:t>
      </w:r>
    </w:p>
    <w:p>
      <w:r>
        <w:rPr>
          <w:b/>
        </w:rPr>
        <w:t>E. 1.3</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(cf. arrêt TF 5A_950/2014 du 16 avril 2015 consid. 3.5). La recourante a produit, au stade du recours seulement, différentes pièces qui ne figuraient pas dans le dossier de première instance. Elle se prévaut par ailleurs d’allégués nouveaux en relation avec ces pièces. Ces nouveaux moyens, tardifs au regard de l’art. 326 al. 1 CPC, sont irrecevables. Il n’en sera dès lors pas tenu compte et la Cour statuera sur la base des allégués et des pièces produites en première instance.</w:t>
      </w:r>
    </w:p>
    <w:p>
      <w:r>
        <w:t>Tribunal cantonal TC Page 3 de 5</w:t>
      </w:r>
    </w:p>
    <w:p>
      <w:r>
        <w:rPr>
          <w:b/>
        </w:rPr>
        <w:t>E. 2.1</w:t>
      </w:r>
    </w:p>
    <w:p>
      <w:r>
        <w:t>En vertu de l'art. 321 al. 1 CPC, le recours doit être motivé,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et arrêt TF 5A_82/2013 du 18 mars 2013 consid. 3.2).</w:t>
      </w:r>
    </w:p>
    <w:p>
      <w:r>
        <w:rPr>
          <w:b/>
        </w:rPr>
        <w:t>E. 2.2</w:t>
      </w:r>
    </w:p>
    <w:p>
      <w:r>
        <w:t>En l’espèce, force est de constater que l’acte de recours déposé par A.________ SA ne contient aucune motivation idoine. En effet, lorsqu’elle ne se borne pas à reformuler les mêmes moyens qu’en première instance déjà, elle articule l’essentiel de son argumentation autour d’allégations de faits et de preuves nouvelles, lesquelles sont irrecevables à ce stade de la procédure, comme cela a été examiné plus haut (cf. supra consid. 1.3.). Ce faisant, elle n'expose pas en quoi le premier juge aurait eu tort de rejeter sa requête de mainlevée, motif pris qu’elle ne dispose d’aucun titre de mainlevée, définitive ou provisoire, confirmant l'existence et le montant des créances en poursuite (cf. décision entreprise, consid. 7, p. 5). En définitive, la recourante ne formule aucune critique, ayant un minimum de consistance, à l'encontre du contenu de la décision querellée elle-même, ne remettant pas en cause la motivation du Président conformément au prescrit de l’art. 321 CPC. Par surabondance de motifs, force est de constater que la recourante s’est limitée à prendre une conclusion cassatoire – à savoir conclure, implicitement qui plus est, à l’annulation de la décision attaquée –, alors qu’elle aurait dû prendre des conclusions réformatoires (cf. ATF 134 III 235 consid. 2). Il s’ensuit l’irrecevabilité du recours.</w:t>
      </w:r>
    </w:p>
    <w:p>
      <w:r>
        <w:rPr>
          <w:b/>
        </w:rPr>
        <w:t>E. 3</w:t>
      </w:r>
    </w:p>
    <w:p>
      <w:r>
        <w:t>Quand bien même il serait recevable, le recours devrait de toute façon être rejeté dans la mesure où il est manifestement mal fondé, la décision attaquée ne comportant en définitive aucune erreur que ce soit dans l’application du droit et/ou dans sa justification en fait.</w:t>
      </w:r>
    </w:p>
    <w:p>
      <w:r>
        <w:rPr>
          <w:b/>
        </w:rPr>
        <w:t>E. 3.1</w:t>
      </w:r>
    </w:p>
    <w:p>
      <w:r>
        <w:t>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La procédure de mainlevée – définitive ou provisoire – est une pure procédure d'exécution forcée (ATF 94 I 365 consid. 6) constituant un incident de la poursuite. Dans une telle procédure, le juge doit examiner le jugement exécutoire ou les titres y assimilés, respectivement le titre – public ou privé – qu'est la reconnaissance de dette, et statuer sur le droit du créancier de poursuivre le débiteur, c'est-à-dire décider si l'opposition doit ou non être maintenue. Le juge de la mainlevée provisoire est autorisé à lever provisoirement l'opposition du débiteur sur le seul vu d'une reconnaissance de dette sous seing privé et même d'un contrat si le débiteur ne rend pas immédiatement vraisemblable sa libération. Il peut ainsi permettre au créancier de faire réaliser les biens du débiteur et d'obtenir satisfaction si ce dernier n'ouvre pas action en libération de dette en temps utile (ATF 74 II 47 consid. 3). La procédure de mainlevée provisoire, comme la procédure de mainlevée définitive, est une procédure sur pièces (Urkundenprozess), dont le but n'est pas de constater la réalité de la créance en poursuite, mais l'existence d'un titre exécutoire: le créancier ne</w:t>
      </w:r>
    </w:p>
    <w:p>
      <w:r>
        <w:t>Tribunal cantonal TC Page 4 de 5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Le juge de la mainlevée provisoire examine donc seulement la force probante du titre produit par le créancier, sa nature formelle - et non la validité de la créance - et il lui attribue force exécutoire si le débiteur ne rend pas immédiatement vraisemblables ses moyens libératoires (ATF 132 III 140 consid. 4.1.1; ATF 130 II 321 consid. 3.3). Constitue une reconnaissance de dette au sens de l’art. 82 al. 1 LP précité l’acte signé par le poursuivi – ou son représentant (ATF 112 III 88) – duquel il ressort sa volonté de payer au poursuivant, sans réserve ni condition, une somme d’argent déterminée ou aisément déterminable et échue. Quelle que soit la forme revêtue, la qualification de reconnaissance de dette ne sera reconnue qu’à une déclaration écrite et signée du poursuivi, déclaration par laquelle ce dernier reconnaît devoir au poursuivant une somme d’argent déterminée ou déterminable et exigible au moment de la réquisition de poursuite (GILLIÉRON, Poursuite pour dettes, faillite et concordat, 4e éd., 2005, n. 776 p. 155). Ainsi, une facture adressée par le vendeur à l’acheteur vaut reconnaissance de dette si elle est signée par l’acheteur sans réserve ni condition (KRAUSKOPF, La mainlevée provisoire: quelques jurisprudences récentes in JdT 2008 II 32). Une reconnaissance de dette peut aussi découler du rapprochement de plusieurs pièces, pour autant que les éléments nécessaires en résultent (ATF 132 III 480 consid. 4.1 et les arrêts cités). Selon la jurisprudence cantonale et la doctrine, le montant de la créance peut ainsi figurer sur l'acte signé ou sur une pièce auquel celui-ci se rapporte (PANCHAUD/CAPREZ, La mainlevée d'opposition, 1980, § 15; BSK SchKG I-STAEHELIN, art. 82 LP, n. 25 et la jurisprudence citée par ces auteurs). Cependant, dans tous les cas, pour constituer un titre de mainlevée, la reconnaissance de dette doit être signée par le débiteur ou son représentant, à moins qu'elle ne soit contenue dans un acte authentique (CR LP-SCHMIDT, 2005, art. 82 LP, n. 19).</w:t>
      </w:r>
    </w:p>
    <w:p>
      <w:r>
        <w:rPr>
          <w:b/>
        </w:rPr>
        <w:t>E. 3.2</w:t>
      </w:r>
    </w:p>
    <w:p>
      <w:r>
        <w:t>En l’espèce, le Président a constaté et retenu que la requérante ne dispose d’aucun titre de mainlevée, définitive ou provisoire, confirmant l'existence et le montant des créances en poursuite. Il a ainsi notamment considéré que la requérante n’avait produit aucune pièce signée par le débiteur poursuivi, valant reconnaissance de dette au sens de l’art. 82 LP (cf. décision attaquée, consid. 5. c), si bien que la requête de mainlevée du 20 décembre 2021 ne pouvait en définitive qu’être rejetée. La recourante ne le conteste pas. Elle se contente de se prévaloir d’un certain nombre de nouveaux moyens qui, pour la grande majorité d’entre eux, sont irrecevables (cf. supra consid. 1.3.). Il n’en sera dès lors pas tenu compte et la Cour statuera sur la base des allégués et des pièces produites en première instance, lesquelles, même rapprochées entre elles, ne constituent pas une reconnaissance de dette et, partant, ne sauraient valoir titre de mainlevée au sens de l’art. 82 LP.</w:t>
      </w:r>
    </w:p>
    <w:p>
      <w:r>
        <w:rPr>
          <w:b/>
        </w:rPr>
        <w:t>E. 4</w:t>
      </w:r>
    </w:p>
    <w:p>
      <w:r>
        <w:t>Les frais de la procédure de recours sont mis à la charge de la recourante, qui succombe (art. 106 al. 1 CPC).</w:t>
      </w:r>
    </w:p>
    <w:p>
      <w:r>
        <w:rPr>
          <w:b/>
        </w:rPr>
        <w:t>E. 4.1</w:t>
      </w:r>
    </w:p>
    <w:p>
      <w:r>
        <w:t>Ils comprennent les frais judiciaires, fixés forfaitairement à CHF 250.- (art. 48 et 61 al. 1 OELP), qui seront prélevés sur l’avance de frais du même montant effectuée le 10 mars 2022.</w:t>
      </w:r>
    </w:p>
    <w:p>
      <w:r>
        <w:rPr>
          <w:b/>
        </w:rPr>
        <w:t>E. 4.2</w:t>
      </w:r>
    </w:p>
    <w:p>
      <w:r>
        <w:t>Il n'est pas alloué de dépens à l’intimé, qui n’a pas été invité à se déterminer sur le recours, conformément au prescrit de l’art. 322 al. 1 CPC.</w:t>
      </w:r>
    </w:p>
    <w:p>
      <w:r>
        <w:t>Tribunal cantonal TC Page 5 de 5 la Cour arrête: I. Le recours est irrecevable. II. Les frais de la procédure de recours sont mis à la charge de A.________. Les frais judiciaires sont fixés à CHF 250.- et seront prélevés sur l’avance de frais du même montant effectuée le 10 mars 2022.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28 mars 2022/lda La Vice-Présidente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