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37 vom 18. März 2022</w:t>
      </w:r>
    </w:p>
    <w:p>
      <w:r>
        <w:t>FR Kantonsgericht, 2022-03-18, FR</w:t>
      </w:r>
    </w:p>
    <w:p>
      <w:r>
        <w:rPr>
          <w:b/>
        </w:rPr>
        <w:t xml:space="preserve">Quelle: </w:t>
      </w:r>
      <w:r>
        <w:t>https://mcp.opencaselaw.ch/entscheid/fr_gerichte_102_2022_37</w:t>
      </w:r>
    </w:p>
    <w:p>
      <w:r>
        <w:t>FR: FR_GERICHTE 102 2022 37 du 18 mars 2022</w:t>
      </w:r>
    </w:p>
    <w:p>
      <w:r>
        <w:t>IT: FR_GERICHTE 102 2022 37 del 18 marzo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w:t>
      </w:r>
    </w:p>
    <w:p>
      <w:r>
        <w:t>Tribunal cantonal TC Page 3 de 4 clairement et directement référence aux documents qui mentionnent le montant de la dette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reconnaît devoir une somme d’argent déterminée, la procédure de mainlevée provisoire est utile aux créanciers disposant d’une reconnaissance de dette. Faute d’un tel titre de mainlevée, le créancier est contraint d’engager une action en paiement dans le cadre d’un procès ordinaire.</w:t>
      </w:r>
    </w:p>
    <w:p>
      <w:r>
        <w:rPr>
          <w:b/>
        </w:rPr>
        <w:t>E. 2.3</w:t>
      </w:r>
    </w:p>
    <w:p>
      <w:r>
        <w:t>La Présidente a refusé de prononcer la mainlevée de l'opposition au motif que les différentes factures produites par le recourant à l'appui de sa requête ne constituaient pas des reconnaissances de dettes au sens de l'art. 82 LP.</w:t>
      </w:r>
    </w:p>
    <w:p>
      <w:r>
        <w:rPr>
          <w:b/>
        </w:rPr>
        <w:t>E. 2.4</w:t>
      </w:r>
    </w:p>
    <w:p>
      <w:r>
        <w:t>Le recourant conteste ce jugement et soutient en substance que les factures ainsi que les échanges de courriels entre les parties suffisent à établir que l'intimé s'est engagé à s'acquitter du montant des travaux commandés et réalisés.</w:t>
      </w:r>
    </w:p>
    <w:p>
      <w:r>
        <w:rPr>
          <w:b/>
        </w:rPr>
        <w:t>E. 2.5</w:t>
      </w:r>
    </w:p>
    <w:p>
      <w:r>
        <w:t>En l'espèce, le créancier a produit à l'appui de sa requête de mainlevée plusieurs factures portants sur des travaux d'élagage, de nettoyage et d'évacuation de mobilier au domicile du débiteur. Ces documents ne contiennent toutefois aucune signature de l'intimé confirmant qu'il s'engageait à verser le montant réclamé. Partant, aucun des documents produits ne constitue une reconnaissance de dette au sens de l'art. 82 LP, de sorte que le créancier n'est pas au bénéfice d'un titre de mainlevée provisoire. De même, il ne dispose pas non plus d'un jugement exécutoire permettant d'obtenir la mainlevée définitive de l'opposition au sens de l'art. 80 al. 1 LP. C'est à bon droit que la première juge a rejeté la requête de mainlevée introduite par le créancier. Sa décision doit être confirmée sur ce point. Pour faire reconnaître son droit, le recourant aurait dû introduire à l'encontre de l'intimé une action en reconnaissance de dette au sens de l'art. 79 al. 1 LP.</w:t>
      </w:r>
    </w:p>
    <w:p>
      <w:r>
        <w:rPr>
          <w:b/>
        </w:rPr>
        <w:t>E. 3</w:t>
      </w:r>
    </w:p>
    <w:p>
      <w:r>
        <w:t>Le recourant conclut également au versement d'un tort moral ainsi que d'un montant équitable à titre de dommage supplémentaire au sens de l'art. 106 al. 1 CO. Comme l'a relevé à juste titre la première juge, ces montants ne font pas l'objet de la présente procédure, laquelle porte uniquement sur les créances mentionnées dans le commandement de payer no ccc de l'Office des poursuites de la Broye. C'est ainsi à juste titre que la première juge a déclaré ces conclusions irrecevables. Partant, le jugement entrepris ne peut qu'être confirmé sur ce point.</w:t>
      </w:r>
    </w:p>
    <w:p>
      <w:r>
        <w:rPr>
          <w:b/>
        </w:rPr>
        <w:t>E. 4</w:t>
      </w:r>
    </w:p>
    <w:p>
      <w:r>
        <w:t>Les frais de la procédure de recours doivent être mis à la charge de A.________ qui succombe (art 106 al. 1 CPC). Ils comprennent les frais judiciaires, fixés forfaitairement à CHF 450.- (art. 48 et 61 al. 1 OELP). Il n'est pas alloué de dépens.</w:t>
      </w:r>
    </w:p>
    <w:p>
      <w:r>
        <w:t>Tribunal cantonal TC Page 4 de 4 la Cour arrête : I. Le recours est rejeté. Partant, la décision de la Présidente du Tribunal civil de l'arrondissement de la Broye du 11 février 2022 est confirmée. II. Les frais de la procédure de recours sont mis à la charge de A.________. Les frais judiciaires sont fixés à CHF 450.- et seront prélevés sur l'avance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mars 2022/mga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