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252 vom 9. Januar 2023</w:t>
      </w:r>
    </w:p>
    <w:p>
      <w:r>
        <w:t>FR Kantonsgericht, 2023-01-09, FR</w:t>
      </w:r>
    </w:p>
    <w:p>
      <w:r>
        <w:rPr>
          <w:b/>
        </w:rPr>
        <w:t xml:space="preserve">Quelle: </w:t>
      </w:r>
      <w:r>
        <w:t>https://mcp.opencaselaw.ch/entscheid/fr_gerichte_102_2022_252</w:t>
      </w:r>
    </w:p>
    <w:p>
      <w:r>
        <w:t>FR: FR_GERICHTE 102 2022 252 du 9 janvier 2023</w:t>
      </w:r>
    </w:p>
    <w:p>
      <w:r>
        <w:t>IT: FR_GERICHTE 102 2022 252 del 9 gennaio 2023</w:t>
      </w:r>
    </w:p>
    <w:p>
      <w:pPr>
        <w:pStyle w:val="Heading2"/>
      </w:pPr>
      <w:r>
        <w:t>Regeste</w:t>
      </w:r>
    </w:p>
    <w:p>
      <w:r>
        <w:t>Arrêt de la IIe Cour d'appel civil du Tribunal cantonal | Rechtsöffnung</w:t>
      </w:r>
    </w:p>
    <w:p>
      <w:pPr>
        <w:pStyle w:val="Heading2"/>
      </w:pPr>
      <w:r>
        <w:t>Erwägungen</w:t>
      </w:r>
    </w:p>
    <w:p>
      <w:r>
        <w:rPr>
          <w:b/>
        </w:rPr>
        <w:t>E. 28</w:t>
      </w:r>
    </w:p>
    <w:p>
      <w:r>
        <w:t>avril 2022. L'intimé n'a pas été invité à se déterminer.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Dans ces conditions, l'arrêt du 18 juillet 2022 du Tribunal cantonal produit par la recourante au stade du recours seulement est irrecevable. La Cour statuera sur la base des pièces produites en première instance. 1.3. La valeur litigieuse se monte à CHF 104.-, de sorte que seul le recours constitutionnel subsidiaire est ouvert contre le présent arrêt (cf. art. 51 al. 1 let. a art. 74 al. 1 let. b LTF).</w:t>
      </w:r>
    </w:p>
    <w:p>
      <w:r>
        <w:t>Tribunal cantonal TC Page 3 de 4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Le caractère exécutoire doit résulter du titre produit par le créancier ou d'un document qui s'y réfère. Certains auteurs admettent que la preuve du caractère exécutoire peut être apportée par d'autres moyens, notamment le fait que le poursuivi n'a pas contesté le caractère exécutoire de la décision, ou, pour une décision qui date d'un certain nombre d'années, qu'il n'y a pas d'indice qu'une voie de droit ait été saisie. La jurisprudence du Tribunal cantonal de Fribourg est plus stricte. Une preuve par d'autres moyens n'est ainsi pas admissible et le juge de la mainlevée n'est pas en droit de suppléer à l'absence de production du jugement exécutoire par les constatations qu'il a pu faire dans les actes du procès déroulé devant lui en première instance (Extraits 1953 97). Il n'y a pas lieu de revenir sur cette jurisprudence car cela reviendrait à privilégier indûment les créanciers qui requièrent la mainlevée d'opposition en se fondant sur un jugement rendu par le même juge que celui qui est saisi de la requête de mainlevée, ces créanciers pouvant compter sur le fait que ledit juge vérifiera d'office dans ses dossiers que le jugement produit est définitif et exécutoire, alors que les créanciers qui se fondent sur un jugement rendu par une autre autorité se verraient contraints de faire attester le jugement avant de déposer leur requête de mainlevée (arrêt TC FR 102 2016 36 du 13 avril 2016 consid. 2a, in RFJ 2016/3). 2.2. En l'espèce, le document que la recourante avait produit en première instance ne comprenait aucune mention attestant son caractère définitif et exécutoire. Cette circonstance seule suffisait pour rejeter sa requête de mainlevée. Il importe peu dans ces conditions que le Président du tribunal a pris en considération – à tort – un courrier du 22 juillet 2022 produit par l'intimé mentionnant une procédure d'appel par-devant le Tribunal cantonal, alors que celui-ci avait rendu son arrêt rejetant l'appel en date du 18 juillet 2022 déjà. Quant à l'arrêt du 18 juillet 2022 du Tribunal cantonal produit par la recourante au stade du recours seulement, il est non seulement irrecevable (consid. 1.2 ci-avant), mais ne comporte pas d'attestation de son caractère définitif et exécutoire non plus. Partant, le recours doit être rejeté dans la mesure où il est manifestement mal fondé, la décision attaquée ne comportant aucune erreur. 3. 3.1. Les frais de la procédure de recours doivent être mis à la charge de la recourante, qui succombe (art. 106 al. 1 CPC). Ils comprennent les frais judiciaires, fixés forfaitairement à CHF 60.- (art. 48 et 61 al. 1 OELP). 3.2. Il n'est pas alloué de dépens à l'intimé, qui n'a pas été invité à répondre (art. 322 al. 1 CPC). (dispositif en page suivante)</w:t>
      </w:r>
    </w:p>
    <w:p>
      <w:r>
        <w:t>Tribunal cantonal TC Page 4 de 4 la Cour arrête : I. Le recours de A.________ est rejeté. Partant, la décision du Président du Tribunal civil de l'arrondissement de la Gruyère du 1er décembre 2022 est confirmée. II. Les frais de la procédure de recours sont fixés à CHF 60.- et mis à la charge de A.________.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janvier 2023/dbe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