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238 vom 6. Dezember 2022</w:t>
      </w:r>
    </w:p>
    <w:p>
      <w:r>
        <w:t>FR Kantonsgericht, 2022-12-06, FR</w:t>
      </w:r>
    </w:p>
    <w:p>
      <w:r>
        <w:rPr>
          <w:b/>
        </w:rPr>
        <w:t xml:space="preserve">Quelle: </w:t>
      </w:r>
      <w:r>
        <w:t>https://mcp.opencaselaw.ch/entscheid/fr_gerichte_102_2022_238</w:t>
      </w:r>
    </w:p>
    <w:p>
      <w:r>
        <w:t>FR: FR_GERICHTE 102 2022 238 du 6 décembre 2022</w:t>
      </w:r>
    </w:p>
    <w:p>
      <w:r>
        <w:t>IT: FR_GERICHTE 102 2022 238 del 6 dicembre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Dépourvu de motivation idoine et de conclusions, la recevabilité du recours est d’emblée douteuse. Cela étant, cette problématique peut souffrir de demeurer ouverte dans la mesure où le recours est de toute façon manifestement infondé.</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C'est le débiteur qui doit rendre sa solvabilité vraisemblable; il n'appartient pas à l'autorité de recours de rechercher d'office des moyens de preuve idoines.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w:t>
      </w:r>
    </w:p>
    <w:p>
      <w:r>
        <w:t>Tribunal cantonal TC Page 3 de 4 change n'est pendante contre lui et qu'aucune poursuite exécutoire n'est en cours contre lui (arrêt TF 5A_251/2018 du 31 mai 2018 consid. 3.1).</w:t>
      </w:r>
    </w:p>
    <w:p>
      <w:r>
        <w:rPr>
          <w:b/>
        </w:rPr>
        <w:t>E. 2.2</w:t>
      </w:r>
    </w:p>
    <w:p>
      <w:r>
        <w:t>En l'espèce, la recourante n’a versé aucun montant à l’intention de la créancière poursuivante, si bien que la première condition posée par l'art. 174 al. 2 ch. 2 LP n’est d’emblée pas remplie, de sorte que son recours doit être rejeté pour ce premier motif déjà.</w:t>
      </w:r>
    </w:p>
    <w:p>
      <w:r>
        <w:rPr>
          <w:b/>
        </w:rPr>
        <w:t>E. 2.3</w:t>
      </w:r>
    </w:p>
    <w:p>
      <w:r>
        <w:t>Par surabondance de motifs, son recours doit être rejeté pour un second motif également, dès lors qu’elle n’a produit aucun document de nature à rendre vraisemblable sa solvabilité. En effet, afin de rendre vraisemblable sa solvabilité, l’intéressée se borne à affirmer qu'elle a entrepris avec sa fiduciaire la comptabilisation des années 2020 à 2022 et que le montant des cotisations dues à la Caisse de compensation pour les années 2019 à 2022 n'est que de CHF 32'300.- et non de CHF 55'761.75, mais sans apporter de preuve de ce fait. Elle produit en outre un relevé de compte bancaire faisant état d'un solde positif de CHF 24'256.90, insuffisant pour couvrir ses dettes. Il ressort en effet de l’extrait actualisé des poursuites établi le 10 novembre 2022 par l’Office des poursuites de la Gruyère à la demande de la Cour que la débitrice poursuive fait actuellement l’objet de 14 autres poursuites, en sus de celle qui a conduit au prononcé de la faillite, dont cinq au stade de la commination de faillite, pour un montant total de près de CHF 80'000.-. Dans ces circonstances, la Cour constate que la situation financière de la faillie semble précaire et retient qu’elle ne dispose pas de liquidités suffisantes pour régler, à brève échéance, les poursuites ouvertes actuellement dirigées contre elle. Le recours, manifestement infondé, est ainsi rejeté sans échange d'écritures (art. 322 al. 1 CPC).</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conformément au prescrit de l’art. 322 al. 1 CPC. (dispositif en page suivante)</w:t>
      </w:r>
    </w:p>
    <w:p>
      <w:r>
        <w:t>Tribunal cantonal TC Page 4 de 4 la Cour arrête : I. Le recours est rejeté. Partant, la décision de faillite rendue le 31 octobre 2022 (cause no 10 2022 1237) par la Présidente du Tribunal civil de l'arrondissement de la Gruyère est confirmée. II. Les frais judiciaires de la procédure de recours, fixés à CHF 500.-, sont mis à la charge de A.________ Sàrl. III. Il n'est pas alloué de dépens à la société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décembre 2022/dbe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