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234 vom 30. Dezember 2022</w:t>
      </w:r>
    </w:p>
    <w:p>
      <w:r>
        <w:t>FR Kantonsgericht, 2022-12-30, FR</w:t>
      </w:r>
    </w:p>
    <w:p>
      <w:r>
        <w:rPr>
          <w:b/>
        </w:rPr>
        <w:t xml:space="preserve">Quelle: </w:t>
      </w:r>
      <w:r>
        <w:t>https://mcp.opencaselaw.ch/entscheid/fr_gerichte_102_2022_234</w:t>
      </w:r>
    </w:p>
    <w:p>
      <w:r>
        <w:t>FR: FR_GERICHTE 102 2022 234 du 30 décembre 2022</w:t>
      </w:r>
    </w:p>
    <w:p>
      <w:r>
        <w:t>IT: FR_GERICHTE 102 2022 234 del 30 dicembre 2022</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10 jours, faire l'objet d'un recours. La décision attaquée a été notifiée au recourant le 10 novembre 2022; interjeté le 18 novembre 2022, le recours l’a dès lors été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il n'appartient pas à l'autorité de recours de rechercher d'office des moyens de preuve idoines (arrêt TF 5A_912/2013 du 18 février 2014 consid. 3; arrêt TC FR du 23 février 1999 in RFJ 1999 82). La solvabilité, au sens de l'art. 174 al. 2 LP, se définit par opposition à l'insolvabilité au sens de l'art. 191 LP (arrêt TF 5P.399/1999 du 14 janvier 2000 consid. 2b; BSK SchKG II – GIROUD, 3e éd. 2021,</w:t>
      </w:r>
    </w:p>
    <w:p>
      <w:r>
        <w:t>Tribunal cantonal TC Page 3 de 4 art. 174 n. 26); elle consiste en la capacité du débiteur de disposer de liquidités suffisantes pour payer ses dettes échues et peut aussi être présente si cette capacité fait temporairement défaut, pour autant que des indices d'amélioration de la situation à court terme existent (arrêt TF 5A_912/2013 du 18 février 2014 consid. 3).</w:t>
      </w:r>
    </w:p>
    <w:p>
      <w:r>
        <w:rPr>
          <w:b/>
        </w:rPr>
        <w:t>E. 2.2.1</w:t>
      </w:r>
    </w:p>
    <w:p>
      <w:r>
        <w:t>En l'espèce, le recourant a versé, le 2 novembre 2022, à l’Office des poursuites de la Glâne les montants de CHF 509.95 et CHF 399.60 pour régler deux poursuites introduites par l’intimée et qui font l’objet de la commination de faillite. Ces montants couvrent la dette qui a donné lieu à la faillite, intérêts et frais compris, de sorte que la première condition posée par l'art. 174 al. 2 ch. 2 LP est remplie,</w:t>
      </w:r>
    </w:p>
    <w:p>
      <w:r>
        <w:rPr>
          <w:b/>
        </w:rPr>
        <w:t>E. 2.2.2</w:t>
      </w:r>
    </w:p>
    <w:p>
      <w:r>
        <w:t>Il résulte du courriel du Préposé de l’Office des poursuites du 21 novembre 2022 que les deux autres poursuites mentionnées dans l’extrait des poursuites ont été retirées le 8 novembre 2022, de sorte que le recourant ne fait l’objet d’aucune poursuite, en l’état. Il y a dès lors lieu d’admettre que les conditions posées par l’art. 174 al. 2 LP sont remplies et que le recours doit être admis.</w:t>
      </w:r>
    </w:p>
    <w:p>
      <w:r>
        <w:rPr>
          <w:b/>
        </w:rPr>
        <w:t>E. 3</w:t>
      </w:r>
    </w:p>
    <w:p>
      <w:r>
        <w:t>Malgré l’admission du recours, les frais de la première et de la seconde instances sont mis à la charge du recourant qui a provoqué la présente procédure en négligeant d’informer le Président du Tribunal du règlement des poursuites objet de la réquisition de faillite. Pour l’instance de recours, ils sont fixés au montant forfaitaire de CHF 500.- (émolument global; art. 52 et 61 OELP) et seront prélevés sur l’avance effectuée le 1er décembre 2022 par le recourant. Il n’y a pas lieu d’allouer de dépens à l'intimée qui ne s’est pas déterminée sur le recours. (dispositif en page suivante)</w:t>
      </w:r>
    </w:p>
    <w:p>
      <w:r>
        <w:t>Tribunal cantonal TC Page 4 de 4 la Cour arrête : I. Le recours est admis. Partant, la décision du Président du Tribunal civil de l'arrondissement de la Glâne du</w:t>
      </w:r>
    </w:p>
    <w:p>
      <w:r>
        <w:rPr>
          <w:b/>
        </w:rPr>
        <w:t>E. 8</w:t>
      </w:r>
    </w:p>
    <w:p>
      <w:r>
        <w:t>novembre 2022 prononçant la faillite de A.________ est annulée. II. Les frais judiciaires des deux instances sont mis à la charge de A.________. Les frais judiciaires de première instance s’élèvent à CHF 150.-; ils seront prélevés sur l'avance de frais effectuée par B.________ SA qui sera remboursée par l’Office des poursuites de la Glâne sur les montants versés par A.________. L'émolument global est fixé à CHF 500.- pour la seconde instance; il est prélevé sur l’avance effectuée le 1er décembre 2022 par A.________.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décembre 2022/cov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