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221 vom 15. Dezember 2022</w:t>
      </w:r>
    </w:p>
    <w:p>
      <w:r>
        <w:t>FR Kantonsgericht, 2022-12-15, DE</w:t>
      </w:r>
    </w:p>
    <w:p>
      <w:r>
        <w:rPr>
          <w:b/>
        </w:rPr>
        <w:t xml:space="preserve">Quelle: </w:t>
      </w:r>
      <w:r>
        <w:t>https://mcp.opencaselaw.ch/entscheid/fr_gerichte_102_2022_221</w:t>
      </w:r>
    </w:p>
    <w:p>
      <w:r>
        <w:t>FR: FR_GERICHTE 102 2022 221 du 15 décembre 2022</w:t>
      </w:r>
    </w:p>
    <w:p>
      <w:r>
        <w:t>IT: FR_GERICHTE 102 2022 221 del 15 dicembre 2022</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der Gerichtspräsidentin des Sensebezirks vom 3. November 2022 wurde der Beschwerdeführerin am 4. November 2022 zugestellt. Die am 10. November 2022 einge- reichte Beschwerde erfolgte somit fristgerecht. Die Beschwerde enthält eine Begründung und Rechtsbegehren. Auf die Beschwerde ist somit einzutreten.</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w:t>
      </w:r>
    </w:p>
    <w:p>
      <w:r>
        <w:t>Kantonsgericht KG Seite 3 von 5</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 rung inkl. sämtlicher Kosten. Hinzukommen die Kosten des Konkursgerichts sowie des Konkursamts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 Glaubhaft gemacht ist eine Tatsache dann, wenn für deren Vorhandensein gewisse Elemente spre- chen, selbst wenn das Gericht noch mit der Möglichkeit rechnet, dass sie sich nicht verwirklicht haben könnte (BGE 132 III 715 E. 3.1 mit Hinweis). Im Hinblick auf die Aufhebung der Konkurser- öffnung heisst dies, dass die Zahlungsfähigkeit des Konkursiten wahrscheinlicher sein muss als seine Zahlungsunfähigkeit. In diesem Bereich dürfen keine zu strengen Anforderungen gestellt werden, insbesondere wenn die wirtschaftliche Leistungsfähigkeit des Unternehmens des Schuld- ners nicht von vornherein ausgeschlossen werden kann. Es liegt am Schuldner, Beweismittel vorzu- legen, die geeignet sind, seine Zahlungsfähigkeit als glaubhaft erscheinen zu lassen. Der Schuldner muss namentlich nachweisen, dass gegen ihn kein Konkursbegehren in einer ordentlichen Konkurs- oder in einer Wechselbetreibung hängig ist und dass keine weiteren vollsteckbaren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 punkte für eine Verbesserung seiner finanziellen Situation zu erkennen sind und er auf unabsehbare Zeit als illiquid erscheint. Die Beurteilung der Zahlungsfähigkeit beruht auf einem aufgrund der Zahlungsgewohnheiten eines Konkursiten gewonnenen Gesamteindrucks (GIROUD/THEUS SIMONI, in BSK SchKG, 3. Aufl. 2021, Art. 174 N. 26b mit weiteren Hinweisen).</w:t>
      </w:r>
    </w:p>
    <w:p>
      <w:r>
        <w:rPr>
          <w:b/>
        </w:rPr>
        <w:t>E. 2.2</w:t>
      </w:r>
    </w:p>
    <w:p>
      <w:r>
        <w:t>Gemäss Vorladung der Gerichtspräsidentin vom 1. September 2022 betrug der Ausstand, inklusive Zins, Betreibungs- und Inkassokosten sowie Entscheidgebühr zu jenem Zeitpunkt insge- samt CHF 2'007.70. A.________ überwies am 9. November 2022 einen Betrag von CHF 2'407.70.- an die B.________ (BB 6, 25). Es ist somit festzustellen, dass die Beschwerdeführerin die Schuld, die Anlass zum vorliegenden Konkursverfahren gegeben hat, getilgt hat. Damit ist eine der Voraussetzungen von Art. 174 Abs. 2 SchKG erfüllt. Zudem hat die B.________ erklärt, nach Bezahlung der Forderung die Gutheissung der Beschwerde zu befürworten (BB 5).</w:t>
      </w:r>
    </w:p>
    <w:p>
      <w:r>
        <w:rPr>
          <w:b/>
        </w:rPr>
        <w:t>E. 2.3</w:t>
      </w:r>
    </w:p>
    <w:p>
      <w:r>
        <w:t>In Bezug auf die Zahlungsfähigkeit bringt die Beschwerdeführerin vor, dass sich aus der Steuererklärung 2020 ergebe, dass corona-bedingt zwar ein Verlust von CHF 131’3145.77 zu</w:t>
      </w:r>
    </w:p>
    <w:p>
      <w:r>
        <w:t>Kantonsgericht KG Seite 4 von 5 verzeichnen war, dieser aber mit den Gewinnen aus den Vorjahren habe überbrückt werden können. So habe ein Betrag von über CHF 1 Mio. auf neue Rechnung vorgetragen werden können. Die Aktiven würden die Passiven bei weitem übertreffen. Die Gesellschaft besitze zudem Grundstücke mit einem Buchwert per 31. Dezember 2020 von über CHF 3 Mio. und einem Steuerwert von CHF 2.2. Mio. Weiter macht sie geltend, dass per 8. November 2022 Forderungen in Höhe von CHF 833'445.- für erbrachte Leistungen, hingegen unbezahlte Rechnungen in Höhe von CHF 27'241.45 bestehen würden. Mit Datum Konkurseröffnung würde sie über Bankguthaben von knapp über CHF 900'000.- verfügen. Aus dem Betreibungsauszug ergebe sich, dass nur eine weitere Betreibung bestehe. Es gehe dabei um bestrittene Forderungen eines ehemaligen Mitarbeiters, mit welchem in der Zwischenzeit eine Lösung vor der Schlichtungsbehörde gesucht werde.</w:t>
      </w:r>
    </w:p>
    <w:p>
      <w:r>
        <w:rPr>
          <w:b/>
        </w:rPr>
        <w:t>E. 2.4</w:t>
      </w:r>
    </w:p>
    <w:p>
      <w:r>
        <w:t>Aus dem von der Beschwerdeführerin eingereichten Auszug aus dem Betreibungsregister ergibt sich, dass in den Jahren 2021 und 2022 insgesamt nur eine weitere Betreibung für den Betrag über CHF 8'988.20 gegen diese eingeleitet wurde. Dagegen wurde Rechtsvorschlag erhoben. Es scheint auch, dass diesbezüglich eine Lösung vor der Schlichtungsbehörde gefunden werden konnte (vgl. Protokoll mit Vergleich vom 10. Oktober 2022, BB 23). Aus der Bilanz und Erfolgsrechnung 2020 und der provisorischen Bilanz und Erfolgsrechnung 2021 ergibt sich, dass die Aktiven die Passiven weit übertreffen und zudem die Liquidität mit den vorhan- denen Bankguthaben gewährleistet ist. Nach dem Gesagten muss festgestellt werden, dass die Beschwerdeführerin ihre Zahlungsfähigkeit glaubhaft gemacht hat. Die Beschwerde ist demnach gutzuheissen und der Konkursentscheid vom</w:t>
      </w:r>
    </w:p>
    <w:p>
      <w:r>
        <w:rPr>
          <w:b/>
        </w:rPr>
        <w:t>E. 3</w:t>
      </w:r>
    </w:p>
    <w:p>
      <w:r>
        <w:t>November 2022 aufzuheben.</w:t>
      </w:r>
    </w:p>
    <w:p>
      <w:r>
        <w:rPr>
          <w:b/>
        </w:rPr>
        <w:t>E. 3.1</w:t>
      </w:r>
    </w:p>
    <w:p>
      <w:r>
        <w:t>Da die Beschwerdeführerin das Verfahren durch nicht rechtzeitiges Bezahlen des geschul- deten Betrages verursacht hat, sind ihr die Prozesskosten für beide Instanzen aufzuerlegen (Art. 108 ZPO). Die Gerichtskosten für das erstinstanzliche Verfahren wurden auf CHF 200.- festgesetzt und der Beschwerdeführerin auferlegt; sie werden von dem durch die Gesuchstellerin geleisteten Kosten- vorschuss bezogen. Es wird festgestellt, dass diese ihr bereits durch die Beschwerdeführerin ersetzt wurden. Die Gerichtskosten für das Beschwerdeverfahren werden auf CHF 500.- festgesetzt und mit dem von der Beschwerdeführerin geleisteten Kostenvorschuss verrechnet (Art. 52 und 61 Abs. 1 GebV SchKG).</w:t>
      </w:r>
    </w:p>
    <w:p>
      <w:r>
        <w:rPr>
          <w:b/>
        </w:rPr>
        <w:t>E. 3.2</w:t>
      </w:r>
    </w:p>
    <w:p>
      <w:r>
        <w:t>Die Beschwerdegegnerin hat sich nicht vernehmen lassen. Es ist somit keine Parteientschä- digung zuzusprechen. (Dispositiv auf der nächsten Seite)</w:t>
      </w:r>
    </w:p>
    <w:p>
      <w:r>
        <w:t>Kantonsgericht KG Seite 5 von 5 Der Hof erkennt: I. Die Beschwerde wird gutgeheissen. II. Der Entscheid der Präsidentin des Zivilgerichts des Sensebezirks vom 3. November 2022 wird aufgehoben. III. Die Gerichtskosten für das Beschwerdeverfahren werden auf CHF 500.- festgesetzt. Sie werden D.________ GmbH auferlegt und von deren Kostenvorschuss bezogen. Es werden keine Parteientschädigungen zugesprochen.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15. Dezember 2022/mdu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