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219 vom 1. Dezember 2022</w:t>
      </w:r>
    </w:p>
    <w:p>
      <w:r>
        <w:t>FR Kantonsgericht, 2022-12-01, FR</w:t>
      </w:r>
    </w:p>
    <w:p>
      <w:r>
        <w:rPr>
          <w:b/>
        </w:rPr>
        <w:t xml:space="preserve">Quelle: </w:t>
      </w:r>
      <w:r>
        <w:t>https://mcp.opencaselaw.ch/entscheid/fr_gerichte_102_2022_219</w:t>
      </w:r>
    </w:p>
    <w:p>
      <w:r>
        <w:t>FR: FR_GERICHTE 102 2022 219 du 1 décembre 2022</w:t>
      </w:r>
    </w:p>
    <w:p>
      <w:r>
        <w:t>IT: FR_GERICHTE 102 2022 219 del 1 dicembre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s’élève à CHF 5’385.-, si bien que seule la voie du recours constitutionnel subsidiaire au Tribunal fédéral est ouverte, cas échéant (art. 74 al. 1 let. a a contrario LTF).</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Sàrl ne contient aucune motivation idoine. En effet, la recourante ne critique aucunement les motifs pertinents de la Présidente qui a retenu que la créancière poursuivante avait produit une facture du 11 avril 2022 pour le montant de CHF 5'385.- qui n’est pas signée par l’opposante et qui ne vaut donc pas titre de mainlevée à l’instar des autres pièces produites par la requérante. La recourante se contente d’affirmer que la facture du 11 avril 2022 n’a jamais été contestée par l’intimée malgré plusieurs rappels. Ce faisant, elle ne discute pas, même succinctement, les éléments retenus par le premier juge, n’exposant notamment pas en quoi celui-ci aurait eu tort de rejeter sa requête de mainlevée. En définitive, elle ne formule aucune critique, ayant un minimum de consistance, à</w:t>
      </w:r>
    </w:p>
    <w:p>
      <w:r>
        <w:t>Tribunal cantonal TC Page 3 de 4 l'encontre du contenu de la décision querellée elle-même,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5e éd., 2012, n. 776 p. 155). Ainsi, une facture adressée par le vendeur à l’acheteur vaut reconnaissance de dette si elle est signée par l’acheteur sans réserve ni condition (KRAUSKOPF, La mainlevée provisoire: quelques jurisprudences récentes in JdT 2008 II 32).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Le jugement de mainlevée provisoire ne sortit que des effets de droit des poursuites et ne fonde pas l'exception de chose jugée quant à l'existence de la créance (ATF 136 III 583 consid. 2.3 et réf. citées).</w:t>
      </w:r>
    </w:p>
    <w:p>
      <w:r>
        <w:rPr>
          <w:b/>
        </w:rPr>
        <w:t>E. 3.2</w:t>
      </w:r>
    </w:p>
    <w:p>
      <w:r>
        <w:t>En l’espèce, la Présidente a retenu que la requérante ne dispose d’aucun titre de mainlevée confirmant l'existence et le montant de la créance en poursuite. Elle a ainsi constaté que la requérante n’avait notamment produit aucune pièce signée par un représentant de la poursuivie, valant reconnaissance de dette au sens de l’art. 82 LP (cf. décision attaquée, p. 3), si bien que la requête de mainlevée du 22 septembre 2022 ne pouvait en définitive qu’être rejetée. La recourante ne le conteste pas. Dans ces circonstances, la procédure de mainlevée étant une procédure sur titre qui s’accompagne d’un formalisme certain, il y a lieu d’admettre, avec la Présidente, que la facture ainsi que les autres pièces produites par la requérante en première instance ne constituent pas une reconnaissance de dette et, partant, ne constituent pas un titre de mainlevée provisoire au sens de l’art. 82 LP. Il ne saurait en être autrement, même en rapprochant l’ensemble des documents produits en première instance par la requérante, dès lors qu’aucun d’entre eux n’est signé par l’opposante.</w:t>
      </w:r>
    </w:p>
    <w:p>
      <w:r>
        <w:rPr>
          <w:b/>
        </w:rPr>
        <w:t>E. 4.1</w:t>
      </w:r>
    </w:p>
    <w:p>
      <w:r>
        <w:t>Les frais de la procédure de recours sont mis à la charge de A.________ Sàrl, qui succombe (art. 106 al. 1 CPC). Ils comprennent les frais judiciaires, fixés forfaitairement à CHF 200.- (art. 48 et 61 al. 1 OELP), qui seront prélevés sur l’avance de frais du même montant effectuée le 25 novembre 2022.</w:t>
      </w:r>
    </w:p>
    <w:p>
      <w:r>
        <w:t>Tribunal cantonal TC Page 4 de 4</w:t>
      </w:r>
    </w:p>
    <w:p>
      <w:r>
        <w:rPr>
          <w:b/>
        </w:rPr>
        <w:t>E. 4.2</w:t>
      </w:r>
    </w:p>
    <w:p>
      <w:r>
        <w:t>Il n’est pas alloué de dépens à l’intimée qui n’a pas été invitée à déposer une réponse, conformément au prescrit de l’art. 322 al. 1 CCP. la Cour arrête : I. Le recours est irrecevable. II. Les frais de la procédure de recours sont mis à la charge de A.________ Sàrl. Les frais judiciaires sont fixés à CHF 200.- et seront prélevés sur l’avance de frais du même montant effectuée le 25 novembre 2022.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décembre 2022/cov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