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215 vom 6. Dezember 2022</w:t>
      </w:r>
    </w:p>
    <w:p>
      <w:r>
        <w:t>FR Kantonsgericht, 2022-12-06, FR</w:t>
      </w:r>
    </w:p>
    <w:p>
      <w:r>
        <w:rPr>
          <w:b/>
        </w:rPr>
        <w:t xml:space="preserve">Quelle: </w:t>
      </w:r>
      <w:r>
        <w:t>https://mcp.opencaselaw.ch/entscheid/fr_gerichte_102_2022_215</w:t>
      </w:r>
    </w:p>
    <w:p>
      <w:r>
        <w:t>FR: FR_GERICHTE 102 2022 215 du 6 décembre 2022</w:t>
      </w:r>
    </w:p>
    <w:p>
      <w:r>
        <w:t>IT: FR_GERICHTE 102 2022 215 del 6 dicembre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C'est le débiteur qui doit rendre sa solvabilité vraisemblable; il n'appartient pas à l'autorité de recours de rechercher d'office des moyens de preuve idoines.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(arrêt TF 5A_251/2018 du 31 mai 2018 consid. 3.1).</w:t>
      </w:r>
    </w:p>
    <w:p>
      <w:r>
        <w:t>Tribunal cantonal TC Page 3 de 4</w:t>
      </w:r>
    </w:p>
    <w:p>
      <w:r>
        <w:rPr>
          <w:b/>
        </w:rPr>
        <w:t>E. 2.2</w:t>
      </w:r>
    </w:p>
    <w:p>
      <w:r>
        <w:t>La recourante a payé le 16 novembre 2022 au greffe du Tribunal cantonal à l’intention de la créancière la somme de CHF 1'000.-, couvrant ainsi le montant de la poursuite litigieuse, intérêts et frais compris (CHF 901.75), de telle sorte qu’une des alternatives de la première condition exigée par l’art. 174 al. 2 LP est remplie.</w:t>
      </w:r>
    </w:p>
    <w:p>
      <w:r>
        <w:rPr>
          <w:b/>
        </w:rPr>
        <w:t>E. 2.2.1</w:t>
      </w:r>
    </w:p>
    <w:p>
      <w:r>
        <w:t>S’agissant de sa solvabilité, il ressort tout d’abord de l’extrait des poursuites requis par la Cour que la faillie fait l’objet de cinq poursuites en cours non frappées d’opposition pour un montant total de CHF 43'983.40. Une de ces poursuites, pour un montant de CHF 15'372.35, est au stade de la saisie. Pour justifier sa solvabilité, la recourante a produit des offres de travaux qu’elle a adressées à des clients, et dont on ignore si elles seront acceptées. De toute manière, les montants qui pourront cas échéant être facturés ne le seront pas immédiatement. Elle a également produit quatre factures établies en septembre et octobre 2022, et payables à 10 jours net, délai qui n’a manifestement pas été respecté par les débiteurs de la recourante et qui ne permettent pas de garantir une rentrée d’argent effective à très bref délai. Expressément informée par la Cour que les documents produits ne suffisaient pas et qu’elle devait fournir des indices concrets tels qu’un extrait de ses comptes bancaires, des confirmations de commande, des comptes annuels récents ou un bilan intermédiaire, la recourante ne s’est pas manifestée, de telle sorte qu’on ignore tout de sa situation financière actuelle et de la marche de ses affaires. Force est partant de constater qu’elle n’a pas rendu vraisemblable sa solvabilité. Une des conditions cumulatives permettant d’annuler la faillite n’étant pas remplie, le recours doit être rejeté. La requête d’effet suspensif est ainsi sans objet.</w:t>
      </w:r>
    </w:p>
    <w:p>
      <w:r>
        <w:rPr>
          <w:b/>
        </w:rPr>
        <w:t>E. 3</w:t>
      </w:r>
    </w:p>
    <w:p>
      <w:r>
        <w:t>L’attention de la recourante est attirée sur la possibilité d’obtenir la révocation de la faillite aux conditions de l’art. 195 LP.</w:t>
      </w:r>
    </w:p>
    <w:p>
      <w:r>
        <w:rPr>
          <w:b/>
        </w:rPr>
        <w:t>E. 4.1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à l’intimée, qui n’a pas été invitée à se déterminer sur le recours, conformément au prescrit de l’art. 322 al. 1 CPC. (dispositif en page suivante)</w:t>
      </w:r>
    </w:p>
    <w:p>
      <w:r>
        <w:t>Tribunal cantonal TC Page 4 de 4 la Cour arrête : I. Le recours est rejeté. Partant, la décision de faillite rendue le 7 novembre 2022 (cause no 10 2022 2709) par la Présidente du Tribunal civil de l'arrondissement de la Sarine est confirmée. II. La requête d’effet suspensif est sans objet. III. Le montant de CHF 1'000.- consigné auprès de greffe du Tribunal cantonal est versé à l’Office cantonal des faillites. IV. Les frais judiciaires de la procédure de recours, fixés à CHF 500.-, sont mis à la charge de A.________ SA LTD […], succursale de B.________. V. Il n'est pas alloué de dépens à C.________.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décembre 2022/fmiSIGN 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