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191 vom 6. Dezember 2022</w:t>
      </w:r>
    </w:p>
    <w:p>
      <w:r>
        <w:t>FR Kantonsgericht, 2022-12-06, FR</w:t>
      </w:r>
    </w:p>
    <w:p>
      <w:r>
        <w:rPr>
          <w:b/>
        </w:rPr>
        <w:t xml:space="preserve">Quelle: </w:t>
      </w:r>
      <w:r>
        <w:t>https://mcp.opencaselaw.ch/entscheid/fr_gerichte_102_2022_191</w:t>
      </w:r>
    </w:p>
    <w:p>
      <w:r>
        <w:t>FR: FR_GERICHTE 102 2022 191 du 6 décembre 2022</w:t>
      </w:r>
    </w:p>
    <w:p>
      <w:r>
        <w:t>IT: FR_GERICHTE 102 2022 191 del 6 dicembre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t>Tribunal cantonal TC Page 3 de 6</w:t>
      </w:r>
    </w:p>
    <w:p>
      <w:r>
        <w:rPr>
          <w:b/>
        </w:rPr>
        <w:t>E. 2.1</w:t>
      </w:r>
    </w:p>
    <w:p>
      <w:r>
        <w:t>Le Président a retenu que pour la période du 1er avril 2021 au 31 mars 2022, un montant de CHF 37'720.- était dû par l’opposant (soit 5 mois à CHF 4'100.- et 7 mois à CHF 2'460.-). Il a ajouté qu’un montant total de CHF 17’267.50 avait été versé par l’opposant selon le décompte bancaire produit (soit CHF 14'757.50 + 2'510.-) et qu’il convenait encore de déduire le montant de CHF 18'858.15 dont s’était déjà acquitté en nature l’intimé et qui était mentionné dans le dispositif de l’arrêt, de sorte qu’il subsistait un solde de pensions dû de CHF 1'599.35, plus intérêts.</w:t>
      </w:r>
    </w:p>
    <w:p>
      <w:r>
        <w:rPr>
          <w:b/>
        </w:rPr>
        <w:t>E. 2.2</w:t>
      </w:r>
    </w:p>
    <w:p>
      <w:r>
        <w:t>La recourante soutient que le Président a tenu compte à tort d’un montant de CHF 3'260.- versé par l’intimé et ressortant du décompte bancaire produit dès lors qu’il correspond aux allocations familiales dues en sus des contributions d’entretien et qui ne font pas l’objet de la poursuite.</w:t>
      </w:r>
    </w:p>
    <w:p>
      <w:r>
        <w:rPr>
          <w:b/>
        </w:rPr>
        <w:t>E. 2.3</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Par extinction de la dette au sens de l’art. 81 al. 1 LP,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(arrêt TF 5D_180/2012 du 31 janvier 2013, consid. 3.3.2 ; ATF 136 III 624 consid. 4.2.1 précité ; ATF 115 III 97 consid. 4 et les références citées, JdT 1991 II 47).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arrêt TF 5A_709/2014 du 18 juillet 2016 consid. 3.1).</w:t>
      </w:r>
    </w:p>
    <w:p>
      <w:r>
        <w:rPr>
          <w:b/>
        </w:rPr>
        <w:t>E. 2.4</w:t>
      </w:r>
    </w:p>
    <w:p>
      <w:r>
        <w:t>En l’espèce, comme l’a retenu à juste titre le Président du Tribunal, l’intimé est astreint à verser à la recourante un montant total de CHF 37'720.-, hors allocations familiales, à titre de contributions d’entretien pour leurs enfants pour la période du 1er avril 2021 au 31 mars 2022, en</w:t>
      </w:r>
    </w:p>
    <w:p>
      <w:r>
        <w:t>Tribunal cantonal TC Page 4 de 6 vertu de l’arrêt du 7 mars 2022 de la Ie Cour d’appel civil du Tribunal cantonal, attesté définitif et exécutoire et valant titre de mainlevée définitive. Il est vrai également, et la recourante ne le conteste pas non plus, que le montant de CHF 18'853.15, correspondant aux frais d’entretien de la famille dont l’intimé s’est acquitté en nature et qui ressort du dispositif de l’arrêt précité, doit être porté en déduction du montant des pensions dues par l’intimé à la recourante. S’agissant des montants versés par l’intimé à la recourante, cette dernière a produit, en première instance, deux extraits bancaires (cf. pièce 4 du bordereau de la requérante). Le premier décompte fait état d’un montant total versé de CHF 14'757.50 pour la période du 1er avril 2021 au 28 mars 2022 et le second fait état d’un montant de CHF 2'510.- versé par l’intimé le 1er octobre 2021, ce qui constitue, en tout, une somme de CHF 17'267.50 versé par l’intimé à la recourante pendant la période du 1er avril 2021 au 28 mars 2022. Or, dans sa requête la requérante n’a retenu que le versement par l’intimé d’un montant total de CHF 14'007.50 correspondant à la créance mise en poursuite, détaillant, dans sa requête, par périodes, les montants dus et ceux versés. Partant, même si dans le 1er décompte bancaire produit figuraient des versements supplémentaires faits par l’intimé à la requérante, soit</w:t>
      </w:r>
    </w:p>
    <w:p>
      <w:r>
        <w:rPr>
          <w:b/>
        </w:rPr>
        <w:t>E. 4</w:t>
      </w:r>
    </w:p>
    <w:p>
      <w:r>
        <w:t>x CHF 815.-, le Président n’aurait pas dû en tenir compte dès lors que la cause du versement n’était pas mentionnée dans l’extrait, que la requérante n’a pas admis qu’ils correspondaient à la créance due et que l’intimé ne s’est pas déterminé sur la requête. Dans ces circonstances, le Président devait se fonder sur les allégués de la requérante qui n’étaient pas contestés par l’intimé et qui ne le sont d’ailleurs toujours pas en instance de recours. Il aurait en outre pu se douter qu’ils correspondaient aux allocations familiales mensuelles dues en sus (2 x CHF 265.- + CHF 285.-) selon l’arrêt du 7 mars 2022. Partant, la requête de mainlevée définitive de l’opposition doit être admise à concurrence de CHF 4'859.35 (CHF 37'720.- - CHF 18'853.15 - CHF 14'007.50), plus intérêts à 5% l’an dès le 1er septembre 2021 et les frais de poursuite. Il s’ensuit l’admission de l’appel, sans qu’il soit nécessaire d’examiner le second grief soulevé par la recourante (violation du droit d’être entendu). 3. 3.1. 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w:t>
      </w:r>
    </w:p>
    <w:p>
      <w:r>
        <w:rPr>
          <w:b/>
        </w:rPr>
        <w:t>E. 4.1</w:t>
      </w:r>
    </w:p>
    <w:p>
      <w:r>
        <w:t>Les frais judiciaires de première instance ont été fixés à CHF 130.-, montant que les parties n’ont pas remis en cause. Ils sont mis à la charge de B.________. Quant aux frais judiciaires de la procédure de recours, ils sont fixés à CHF 300.- et mis à la charge de B.________.</w:t>
      </w:r>
    </w:p>
    <w:p>
      <w:r>
        <w:rPr>
          <w:b/>
        </w:rPr>
        <w:t>E. 4.2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5 de 6 En l'espèce, compte tenu de ces critères, les dépens de A.________, pour la procédure de de première instance, seront arrêtés globalement à la somme de CHF 1'000.-, TVA par CHF 71.50 comprise. Pour la procédure de recours, ils sont fixés à CHF 800.-, TVA par CHF 57.20 comprise. (dispositif en page suivante)</w:t>
      </w:r>
    </w:p>
    <w:p>
      <w:r>
        <w:t>Tribunal cantonal TC Page 6 de 6 la Cour arrête : I. Le recours est admis. Partant, la décision du Président du Tribunal civil de l’arrondissement de la Gruyère du 15 septembre 2022 est réformée et prend la teneur suivante : 1. La requête de mainlevée remise à la poste le 27 juillet 2022 est admise. 2. Partant, la mainlevée définitive de I'opposition, formée par B.________ au commandement de payer nº ccc de I'Office des poursuites de la Gruyère, notifié le 13juin 2022, à I'instance de A.________, est prononcée à concurrence des montants suivants : - CHF 4'859.35 en capital ; - les intérêts à 5 % l'an sur CHF 4'859.35 dès le 1er septembre 2021 ; - les frais de poursuite par CHF 73.30. 3. Les frais de justice dus à I'Etat par CHF 130.- sont mis à la charge de B.________. Les dépens de A.________ dus par B.________ sont fixés à CHF 1’000.-, TVA par 71.50 comprise. II. Les frais de la procédure de recours sont mis à la charge de B.________. Les frais judiciaires dus à l'Etat sont fixés à CHF 300.-. Les dépens de A.________ dus par B.________ pour la procédure de recours sont fixés globalement à la somme de CHF 800.-, TVA par CHF 57.20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décembre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