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181 vom 2. November 2022</w:t>
      </w:r>
    </w:p>
    <w:p>
      <w:r>
        <w:t>FR Kantonsgericht, 2022-11-02, FR</w:t>
      </w:r>
    </w:p>
    <w:p>
      <w:r>
        <w:rPr>
          <w:b/>
        </w:rPr>
        <w:t xml:space="preserve">Quelle: </w:t>
      </w:r>
      <w:r>
        <w:t>https://mcp.opencaselaw.ch/entscheid/fr_gerichte_102_2022_181</w:t>
      </w:r>
    </w:p>
    <w:p>
      <w:r>
        <w:t>FR: FR_GERICHTE 102 2022 181 du 2 novembre 2022</w:t>
      </w:r>
    </w:p>
    <w:p>
      <w:r>
        <w:t>IT: FR_GERICHTE 102 2022 181 del 2 novembre 2022</w:t>
      </w:r>
    </w:p>
    <w:p>
      <w:pPr>
        <w:pStyle w:val="Heading2"/>
      </w:pPr>
      <w:r>
        <w:t>Regeste</w:t>
      </w:r>
    </w:p>
    <w:p>
      <w:r>
        <w:t>Arrêt de la IIe Cour d'appel civil du Tribunal cantonal | Rechtsöffnung</w:t>
      </w:r>
    </w:p>
    <w:p>
      <w:pPr>
        <w:pStyle w:val="Heading2"/>
      </w:pPr>
      <w:r>
        <w:t>Erwägungen</w:t>
      </w:r>
    </w:p>
    <w:p>
      <w:r>
        <w:rPr>
          <w:b/>
        </w:rPr>
        <w:t>E. 24</w:t>
      </w:r>
    </w:p>
    <w:p>
      <w:r>
        <w:t>mai 2022, ainsi que pour les frais de poursuite par CHF 53.30. Plus subsidiairement encore, il conclut à l’annulation de la décision attaquée et au renvoi de la cause à l’autorité précédente pour nouvelle décision dans le sens des considérants, le tout avec suite de frais judiciaires et dépens. Le 24 octobre 2022, B.________ a déposé une réponse, concluant au rejet du recours – dans la mesure de sa recevabilité – et de la requête d’effet suspensif, avec suite de frais judiciaires et dépens.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1.2. La valeur litigieuse est manifestement inférieure à CHF 30'000.-, si bien que seule la voie du recours constitutionnel au Tribunal fédéral est ouverte (cf. art. 51 al. 1 let. a art. 74 al. 1 let. b LTF).</w:t>
      </w:r>
    </w:p>
    <w:p>
      <w:r>
        <w:t>Tribunal cantonal TC Page 3 de 6 1.3. Conformément à l’art. 326 al. 1 CPC, les allégations de faits et les preuves nouvelles sont irrecevables, ce qui signifie qu'il n'est notamment pas possible de procéder à l'interrogatoire des parties et de produire de nouvelles pièces au stade du recours.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Le recourant a produit, au stade du recours seulement, différentes pièces qui ne figuraient pas dans le dossier de première instance. Il en va notamment ainsi des pièces n°3, 5 et 6 du bordereau du recours. Il se prévaut par ailleurs d’allégués nouveaux en relation avec ces pièces et demande son audition par l’autorité de recours. Ces nouveaux moyens, tardifs au regard de l’art. 326 al. 1 CPC, sont irrecevables. Il n’en sera dès lors pas tenu compte et la Cour statuera sur la base des allégués et des pièces produites en première instance. 1.4. Compte tenu du sort réservé au recours, la requête d’effet suspensif devient sans objet. 2. 2.1. 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2.2. En l’espèce, force est de constater que l’acte de recours déposé par A.________ ne contient aucune motivation idoine. En bref, sur la base d’allégations de faits et de preuves nouvelles – lesquelles, on le rappelle, sont irrecevables à ce stade de la procédure (cf. supra, consid. 1.3.) –, le recourant fait valoir pour l’essentiel qu’il a valablement invoqué la compensation en première instance. Ce faisant, il exerce à l'encontre des constatations de fait de la décision attaquée une critique purement appellatoire qui, pour mémoire, est irrecevable dans le cadre de la présente procédure (ibidem). Dans ces circonstances, on devrait alors admettre qu’il n'expose pas en quoi le premier juge aurait eu tort de prononcer la mainlevée définitive de son opposition, motif pris qu’il n’a soulevé aucun moyen libératoire au sens de l’art. 81 al. 1 LP. En effet, le recourant ne formule aucune critique recevable, ayant un minimum de consistance, à l'encontre du contenu de la décision querellée elle-même, ne remettant pas en cause la motivation de la Présidente, conformément au prescrit de l’art. 321 CPC, ce qui devrait conduire à l’irrecevabilité de son recours. 3. La question de la recevabilité du recours peut toutefois souffrir de demeurer indécise car celui-ci s'avère de toute manière manifestement infondé, la décision attaquée ne comportant en définitive aucune erreur que ce soit dans l’application du droit et/ou dans sa justification en fait.</w:t>
      </w:r>
    </w:p>
    <w:p>
      <w:r>
        <w:t>Tribunal cantonal TC Page 4 de 6 3.1. 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 Par extinction de la dette au sens de l’art. 81 al. 1 LP, la loi ne vise pas seulement le paiement, mais aussi toute autre cause de droit civil, en particulier la compensation (ATF 136 III 624 consid. 4.2.1 ; ATF 124 III 501 consid. 3b et les références citées, JdT 1999 II 136). Un tel moyen ne peut toutefois être retenu que si la créance compensante résulte elle-même d'un titre exécutoire ou lorsqu'elle est admise sans réserve par le poursuivant (arrêt TF 5D_180/2012 du 31 janvier 2013, consid. 3.3.2 ; ATF 136 III 624 consid. 4.2.1 précité ; ATF 115 III 97 consid. 4 et les références citées, JdT 1991 II 47). Contrairement à ce qui est le cas en matière de mainlevée provisoire où la vraisemblance suffit, le poursuivi doit apporter par pièces la preuve stricte de l’extinction de la dette (ATF 136 III 624 consid. 4.2.1 précité ; ATF 124 III 501 précité consid. 3a, JdT 1999 II 136). Il doit établir non seulement la cause de l’extinction, mais également le montant exact à concurrence duquel la dette est éteinte (ATF 124 III 501 consid. 3b précité). Il n’incombe pas au juge de la mainlevée de trancher des questions délicates de droit matériel ou pour lesquelles le pouvoir d’appréciation joue un rôle important, dont la connaissance ressortit exclusivement au juge du fond (ATF 136 III 624 consid. 4.2.1 précité et 4.2.3 ; arrêt TF 5A_709/2014 du 18 juillet 2016 consid. 3.1). La preuve de l’extinction par compensation d’une créance constatée par un titre de mainlevée ne peut ainsi être apportée que par la production de titres qui justifieraient eux-mêmes la mainlevée définitive ou à tout le moins la mainlevée provisoire (ATF 115 III 97 consid. 4 précité / JdT 1991 II 47). Des créances d’entretien ne peuvent être compensées que dans la mesure de leur saisissabilité (art. 125 ch. 2 CO). Ne peuvent ainsi être éteintes par compensation les dettes d’aliments absolument nécessaires à l’entretien du créancier et de sa famille, contre la volonté de celui-ci. La compensation suppose donc l’évaluation préalable de la quote-part non compensable des prestations d’entretien, évaluation qui dépasse en principe le pouvoir d’examen du juge de la mainlevée (ATF 115 III 97 précité consid. 4d, JdT 1001 II 47). Doctrine et jurisprudence retiennent comme critère celui du minimum vital selon l’art. 93 LP (JEANDIN, in THÉVENOZ/WERRO, Commentaire romand, Code des obligations I, 2e éd., 2012, art. 125 CO n. 8 et réf. cit.). En principe, il appartient à celui qui se prévaut de l’art. 125 ch. 2 CO d’établir que les conditions en sont réalisées (cf. ATF 88 II 299 consid. 6b). Il incomberait donc au crédirentier, débiteur de la créance compensante, de prouver que l’encaissement de la pension est indispensable à son entretien. En matière de mainlevée définitive, toutefois, c’est au poursuivi de prouver strictement les conditions de l’extinction</w:t>
      </w:r>
    </w:p>
    <w:p>
      <w:r>
        <w:t>Tribunal cantonal TC Page 5 de 6 de la créance reposant sur un titre de mainlevée, en particulier la quotité de sa créance compensante ; ce serait donc également à lui d’établir qu’une compensation est possible, ainsi que la quote-part compensable en vertu de l’art. 125 ch. 2 CO (en ce sens : GESSLER, Scheidungsurteile als definitive Rechtsöffnungstitel, RSJ 1987, pp. 249 ss, p. 256 ; contra : STAEHELIN, art. 81 LP n. 12). 3.2. En l’espèce, la Présidente a considéré que l’opposant n’avait pas valablement invoqué la compensation, et ce, pour plusieurs motifs. D’une part, elle a constaté et retenu que, bien qu’il ait été formellement invité à se déterminer sur la requête de mainlevée du 22 juin 2022, l’intéressé n’a déposé aucune réponse dans le délai qui lui a été imparti à cet effet. Elle en a donc déduit à juste titre que l’opposant n’avait soulevé aucun moyen libératoire au sens de l’art. 81 al. 1 LP. D’autre part et surtout, la Présidente a retenu qu’en l’absence de reconnaissance de dette ou de titre exécutoire attestant des créances compensantes alléguées par le débiteur, hors procédure, dans son courrier du 14 juin 2022, elle ne pouvait pas tenir compte de ce moyen. Elle ne le pouvait d’autant moins que l’opposant n’a pas établi la quote-part compensable en vertu de l’art. 125 ch. 2 CO. Le recourant n’a donc pas prouvé l’extinction de sa dette. Partant, c’est à juste titre que le premier juge a prononcé la mainlevée définitive de l’opposition à concurrence de CHF 800.-, plus intérêts. 4. Les frais de la procédure de recours sont mis à la charge du recourant, qui succombe (art. 106 al. 1 CPC). 4.1. Ils comprennent les frais judiciaires, fixés forfaitairement à CHF 150.- (art. 48 et 61 al. 1 OELP), qui seront prélevés sur l’avance de frais du même montant effectuée le 17 octobre 2022. 4.2.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B.________ pour la procédure de recours seront arrêtés globalement à la somme de CHF 538.50, TVA par CHF 38.50 comprise. (dispositif en page suivante)</w:t>
      </w:r>
    </w:p>
    <w:p>
      <w:r>
        <w:t>Tribunal cantonal TC Page 6 de 6 la Cour arrête : I. Le recours est rejeté dans la mesure où il recevable. II. La requête d’effet suspensif devient sans objet. III. Les frais de la procédure de recours sont mis à la charge de A.________. Les frais judiciaires sont fixés à CHF 150.- et seront prélevés sur l’avance de frais du même montant effectuée le 17 octobre 2022. Les dépens de B.________ pour la procédure de recours sont fixés globalement à la somme de CHF 538.50, TVA par CHF 38.50 comprise.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 novembre 2022/lda EXPED-SIGN-01 EXPED-SIGN-02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