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171 vom 13. Oktober 2022</w:t>
      </w:r>
    </w:p>
    <w:p>
      <w:r>
        <w:t>FR Kantonsgericht, 2022-10-13, DE</w:t>
      </w:r>
    </w:p>
    <w:p>
      <w:r>
        <w:rPr>
          <w:b/>
        </w:rPr>
        <w:t xml:space="preserve">Quelle: </w:t>
      </w:r>
      <w:r>
        <w:t>https://mcp.opencaselaw.ch/entscheid/fr_gerichte_102_2022_171</w:t>
      </w:r>
    </w:p>
    <w:p>
      <w:r>
        <w:t>FR: FR_GERICHTE 102 2022 171 du 13 octobre 2022</w:t>
      </w:r>
    </w:p>
    <w:p>
      <w:r>
        <w:t>IT: FR_GERICHTE 102 2022 171 del 13 ottobre 2022</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 25. August 2022 der Beschwerde (Art. 309 Bst. b Ziff. 3 i.V.m. Art. 319 Bst. a ZPO).</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131.11]).</w:t>
      </w:r>
    </w:p>
    <w:p>
      <w:r>
        <w:rPr>
          <w:b/>
        </w:rPr>
        <w:t>E. 1.3</w:t>
      </w:r>
    </w:p>
    <w:p>
      <w:r>
        <w:t>Gemäss Art. 251 Bst. a ZPO werden Entscheide in Rechtsöffnungssachen im summarischen Verfahren gefällt. Im summarischen Verfahren beträgt die Beschwerdefrist 10 Tage (Art. 321 Abs. 2 ZPO). Der angefochtene Entscheid wurde der Beschwerdeführerin am 1. September 2022 zugestellt (vgl. Akten des Zivilgerichtspräsidenten). Somit erfolgte die am 12. September 2022 der Post übergebene Beschwerde fristgerecht, da der letzte Tag der Beschwerdefrist an einem Sonntag war.</w:t>
      </w:r>
    </w:p>
    <w:p>
      <w:r>
        <w:rPr>
          <w:b/>
        </w:rPr>
        <w:t>E. 1.4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rPr>
          <w:b/>
        </w:rPr>
        <w:t>E. 2</w:t>
      </w:r>
    </w:p>
    <w:p>
      <w:r>
        <w:t>Die Beschwerde hat eine Begründung aufzuweisen (Art. 321 Abs. 1 ZPO). In der Beschwerdeschrift ist darzulegen, worauf der Beschwerdeführer seine Legitimation stützt, inwieweit er beschwert ist,</w:t>
      </w:r>
    </w:p>
    <w:p>
      <w:r>
        <w:t>Kantonsgericht KG Seite 3 von 4 auf welchen Beschwerdegrund er sich beruft und an welchen Mängeln der angefochtene Entscheid leidet. In der Beschwerdebegründung ist darzulegen, welche Sachverhaltselemente unrichtig sind und inwiefern der angefochtene Entscheid Recht verletzt. Erfüllt die Beschwerde grundlegende Anforderungen an Form oder Inhalt nicht, fehlt es an einer Eintretensvoraussetzung und die Rechts- mittelinstanz hat darauf nicht einzutreten (Urteil KG FR 102 2020 115 vom 14. Juli 2020 E. 2; 102 2021 117 vom 2. August 2021 E. 2.1; BGE 138 III 374 E. 4.3.1). Die Beschwerdeführerin erwähnt in ihrer Eingabe, dass im angefochtenen Entscheid der Hinweis auf eine vereinbarte Ratenzahlung mit der Gläubigerin fehle. Ausserdem habe sie immer noch keine korrigierte Abrechnung bzw. Rechnung der B.________ AG erhalten, obwohl sie diese mehrfach angefordert habe. Die am 12. September 2022 eingereichte Beschwerde erfüllt damit die Anforderungen an den Inhalt bzw. die Begründung einer Beschwerdeschrift selbst bei grosszügiger Auslegung und Handhabung nicht, so dass darauf nicht einzutreten ist. Im Übrigen wäre die Beschwerde zudem ohnehin abzu- weisen, wie nachfolgend dargelegt.</w:t>
      </w:r>
    </w:p>
    <w:p>
      <w:r>
        <w:rPr>
          <w:b/>
        </w:rPr>
        <w:t>E. 3.1</w:t>
      </w:r>
    </w:p>
    <w:p>
      <w:r>
        <w:t>Nach Art. 82 Abs. 1 SchKG kann der Gläubiger die provisorische Rechtsöffnung verlangen, wenn die Forderung auf einer durch öffentliche Urkunde festgestellten oder durch Unterschrift bekräftigten Schuldanerkennung beruht. Der Richter spricht dieselbe aus, sofern der Betriebene nicht Einwendungen, welche die Schuldanerkennung entkräften, sofort glaubhaft macht (Art. 82 Abs. 2 SchKG). Als Schuldanerkennung im Sinne von Art. 82 Abs. 1 SchKG ist ein eigenhändig von der betriebenen Person oder deren Stellvertreter unterzeichnetes Schriftstück zu qualifizieren, wenn aus ihm dessen Wille hervorgeht, dem Betreibenden vorbehalts- und bedingungslos eine bestimmte oder leicht bestimmbare fällige Geldsumme zu bezahlen (vgl. BGE 145 III 20 E. 4.1.1 mit Hinweisen). Das Verfahren der provisorischen Rechtsöffnung ist ein Urkundenprozess, dessen Gegenstand nicht die Feststellung des materiellen Bestandes der in Betreibung gesetzten Forderung, sondern das Vorhandensein eines Vollstreckungstitels ist. Der Rechtsöffnungsrichter würdigt nur die Beweis- kraft der vom Gläubiger vorgelegten Urkunde, ihre formelle Natur, und anerkennt ihre Vollstreckbar- keit, wenn der Schuldner seine Einwendungen nicht sofort glaubhaft macht (vgl. BGE 145 III 160 E. 5.1). Er hat von Amtes wegen namentlich das Vorliegen einer Schuldanerkennung, die Identität des Betreibenden und des in dieser Urkunde bezeichneten Gläubigers, die Identität des Betriebenen und des bezeichneten Schuldners und die Identität der in Betreibung gesetzten und der anerkannten Forderung zu prüfen (vgl. BGE 142 III 720 E. 4.1).</w:t>
      </w:r>
    </w:p>
    <w:p>
      <w:r>
        <w:rPr>
          <w:b/>
        </w:rPr>
        <w:t>E. 3.2</w:t>
      </w:r>
    </w:p>
    <w:p>
      <w:r>
        <w:t>Mit dem Vorrichter ist festzustellen, dass der von der Beschwerdeführerin unterzeichnete Kontoauszug (Gesuchsbeilage 6) eine durch Unterschrift bekräftigte Schuldanerkennung im Sinne von Art. 82 SchKG darstellt. Die Gewährung der provisorischen Rechtsöffnung ist demnach nicht zu beanstanden und die Beschwerde abzuweisen.</w:t>
      </w:r>
    </w:p>
    <w:p>
      <w:r>
        <w:rPr>
          <w:b/>
        </w:rPr>
        <w:t>E. 4</w:t>
      </w:r>
    </w:p>
    <w:p>
      <w:r>
        <w:t>Die Prozesskosten, bestehend aus Gerichtskosten und Parteientschädigung, werden der unterlie- genden Partei auferlegt (Art. 95 Abs. 1 Bst. a und b, 106 Abs. 1 ZPO). Die Beschwerdeführerin ist</w:t>
      </w:r>
    </w:p>
    <w:p>
      <w:r>
        <w:t>Kantonsgericht KG Seite 4 von 4 mit ihren Anträgen nicht durchgedrungen und hat daher die Prozesskosten zu tragen. Die Gerichts- kosten sind namentlich in Berücksichtigung der in Betreibung gesetzten Summe auf pauschal CHF 250.- festzusetzen (Art. 48 und 61 Abs. 1 GebV SchKG). Sie werden vom geleisteten Kosten- vorschuss bezogen. Es wurde gemäss Art. 322 ZPO keine Vernehmlassung eingeholt und der Gegenpartei sind keine weiteren Umstände entstanden; es ist somit keine Parteientschädigung auszurichten. Der Hof erkennt: I. Die Beschwerde wird abgewiesen, soweit darauf einzutreten ist. II. Die Prozesskosten des Beschwerdeverfahrens werden A.________ auferlegt. Die Gerichtskosten des Beschwerdeverfahrens werden auf CHF 250.- festgesetzt und vom geleisteten Kostenvorschuss bezogen. Es wird keine Parteientschädigung zugesprochen. III. Zustellung. Dieses Urteil kann innert 30 Tagen nach seiner Eröffnung mit Verfassungsbeschwerde beim Bundesgericht angefochten werden. Das Beschwerderecht und die übrigen Zulässigkeitsvorausset- zungen sind in den Art. 113–119 und 90 ff. des Bundesgesetzes über das Bundesgericht vom 17. Juni 2005 (BGG) geregelt. Die begründete Beschwerdeschrift ist beim Bundesgericht, 1000 Lausanne 14, einzureichen. Freiburg, 13. Oktober 2022/mdu EXPED-SIGN-01 EXPED-SIGN-02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