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161 vom 13. September 2022</w:t>
      </w:r>
    </w:p>
    <w:p>
      <w:r>
        <w:t>FR Kantonsgericht, 2022-09-13, DE</w:t>
      </w:r>
    </w:p>
    <w:p>
      <w:r>
        <w:rPr>
          <w:b/>
        </w:rPr>
        <w:t xml:space="preserve">Quelle: </w:t>
      </w:r>
      <w:r>
        <w:t>https://mcp.opencaselaw.ch/entscheid/fr_gerichte_102_2022_161</w:t>
      </w:r>
    </w:p>
    <w:p>
      <w:r>
        <w:t>FR: FR_GERICHTE 102 2022 161 du 13 septembre 2022</w:t>
      </w:r>
    </w:p>
    <w:p>
      <w:r>
        <w:t>IT: FR_GERICHTE 102 2022 161 del 13 settembre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der Gerichtspräsidentin des Sensebezirks vom 22. August 2022 wurde dem Beschwerdeführer am 24. August 2022 zugestellt. Die am 5. September 2022 eingereichte Beschwerde erfolgte somit fristgerecht.</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Voraussetzun- gen echte Noven (Abs. 2) vorbringen.</w:t>
      </w:r>
    </w:p>
    <w:p>
      <w:r>
        <w:rPr>
          <w:b/>
        </w:rPr>
        <w:t>E. 1.3</w:t>
      </w:r>
    </w:p>
    <w:p>
      <w:r>
        <w:t>Die Rechtsmittelinstanz kann aufgrund der Akten entscheiden (Art. 327 Abs. 2 ZPO).</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w:t>
      </w:r>
    </w:p>
    <w:p>
      <w:r>
        <w:t>Kantonsgericht KG Seite 3 von 4 Gläubiger auf die Durchführung des Konkurses verzichtet (Ziff. 3). Zu tilgen ist die betriebene Forde- rung inkl. sämtlicher Kosten. Hinzukommen die Kosten des Konkursgerichts sowie des Konkursamts (TALBOT, in Kommentar zum Bundesgesetz über Schuldbetreibung und Konkurs, 4. Aufl. 2017, Art. 174 N. 14). Der Schuldner hat die Zahlungsfähigkeit mit der Beschwerde glaubhaft zu machen und mit dieser sind auch die Urkunden für den Beweis der Konkursaufhebungsgründe im Sinne von Ziff. 1-3 einzu- reichen (BGE 139 III 491 E. 4). Für die Konkurshinderungsgründe gemäss Art. 174 Abs. 2 Ziff. 1-3 SchKG muss folgerichtig gelten, was für das Beibringen der Urkunden zu ihrem Beweis gilt. Konkurs- hinderungsgründe sind gemäss Art. 174 SchKG nur zu berücksichtigen, wenn sie sich innert der Rechtsmittelfrist verwirklicht haben und geltend gemacht werden (BGE 136 III 294 E. 3.2). Glaubhaft gemacht ist eine Tatsache dann, wenn für deren Vorhandensein gewisse Elemente spre- chen, selbst wenn das Gericht noch mit der Möglichkeit rechnet, dass sie sich nicht verwirklicht haben könnte (BGE 132 III 715 E. 3.1 mit Hinweis). Im Hinblick auf die Aufhebung der Konkurser- öffnung heisst dies, dass die Zahlungsfähigkeit des Konkursiten wahrscheinlicher sein muss als seine Zahlungsunfähigkeit. In diesem Bereich dürfen keine zu strengen Anforderungen gestellt werden, insbesondere wenn die wirtschaftliche Leistungsfähigkeit des Unternehmens des Schuld- ners nicht von vornherein ausgeschlossen werden kann. Es liegt am Schuldner, Beweismittel vorzu- legen, die geeignet sind, seine Zahlungsfähigkeit als glaubhaft erscheinen zu lassen. Der Schuldner muss namentlich nachweisen, dass gegen ihn kein Konkursbegehren in einer ordentlichen Konkurs- oder in einer Wechselbetreibung hängig ist und dass keine weiteren vollsteckbaren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 punkte für eine Verbesserung seiner finanziellen Situation zu erkennen sind und er auf unabsehbare Zeit als illiquid erscheint. Die Beurteilung der Zahlungsfähigkeit beruht auf einem aufgrund der Zahlungsgewohnheiten eines Konkursiten gewonnen Gesamteindruck (STAEHELIN, in Basler Kommentar SchKG, Ergänzungsband zur 2. Aufl. 2017, Art. 174 N. 26a mit weiteren Hinweisen).</w:t>
      </w:r>
    </w:p>
    <w:p>
      <w:r>
        <w:rPr>
          <w:b/>
        </w:rPr>
        <w:t>E. 2.2</w:t>
      </w:r>
    </w:p>
    <w:p>
      <w:r>
        <w:t>Den Akten lässt sich entnehmen, dass der Beschwerdeführer der B.________ AG am 30. August 2022 einen Betrag von CHF 1'111.75 per Post überwiesen hat. Mithin sind die Konkurs- forderung und sämtliche Kosten getilgt. In Bezug auf die Zahlungsfähigkeit reicht der Beschwerdeführer keine Belege ein, um diese darzu- tun. Aus den vom ihm eingereichten Auszügen aus dem Betreibungsregister ergibt sich, dass seit 2017 Betreibungen im Umfang von CHF 46'102.35, wovon deren vier im Jahre 2022 für einen Betrag von CHF 16'544.25 eingeleitet wurden. Zudem befindet sich die Betreibung Nr. ddd im Stadium der Konkursandrohung. Mithin ist festzustellen, dass der Beschwerdeführer seiner Obliegenheit nicht nachgekommen ist und seine Zahlungsfähigkeit nicht glaubhaft gemacht hat. Er begnügt sich damit zu erwähnen, dass er über regelmässige monatliche Einkünfte von knapp CHF 2’600.- verfügt und hofft, nach Abklingen der Covid-Pandemie monatliche Einkünfte von CHF 5'800.- aus seiner gewerblichen Tätigkeit zu generieren. Auch sonst gibt es keine Hinweise, dass es sich nur um eine vorübergehende Zahlungs- schwierigkeit handelt.</w:t>
      </w:r>
    </w:p>
    <w:p>
      <w:r>
        <w:t>Kantonsgericht KG Seite 4 von 4</w:t>
      </w:r>
    </w:p>
    <w:p>
      <w:r>
        <w:rPr>
          <w:b/>
        </w:rPr>
        <w:t>E. 2.3</w:t>
      </w:r>
    </w:p>
    <w:p>
      <w:r>
        <w:t>Mangels Glaubhaftmachung der Zahlungsfähigkeit ist die Beschwerde abzuweisen und der angefochtene Entscheid zu bestätigen. Der Beschwerdeführer wird auf die Möglichkeit eines Widerrufs des Konkurses hingewiesen (Art. 195 SchKG).</w:t>
      </w:r>
    </w:p>
    <w:p>
      <w:r>
        <w:rPr>
          <w:b/>
        </w:rPr>
        <w:t>E. 3</w:t>
      </w:r>
    </w:p>
    <w:p>
      <w:r>
        <w:t>Mit dem Entscheid in der Sache wird das Gesuch um aufschiebende Wirkung gegenstandslos und ist abzuschreiben.</w:t>
      </w:r>
    </w:p>
    <w:p>
      <w:r>
        <w:rPr>
          <w:b/>
        </w:rPr>
        <w:t>E. 4</w:t>
      </w:r>
    </w:p>
    <w:p>
      <w:r>
        <w:t>Die Prozesskosten des Beschwerdeverfahrens werden dem unterliegenden Beschwerdeführer auferlegt. Die Gerichtsgebühr ist pauschal auf CHF 500.- festzusetzen (Art. 52 und 61 Abs. 1 GebV SchKG). Es wurde gemäss Art. 322 Abs. 1 ZPO keine Vernehmlassung eingeholt und der Gegen- partei sind keine weiteren Umstände entstanden; es ist somit keine Parteientschädigung zuzuspre- chen. Der Hof erkennt: I. Die Beschwerde wird abgewiesen. Der Konkursentscheid des Präsidenten des Zivilgerichts des Seebezirks vom 22. August 2022 wird bestätigt. II. Das Gesuch um aufschiebende Wirkung ist gegenstandslos und wird abgeschrieben. III. Die Gerichtskosten für das Beschwerdeverfahren werden auf CHF 500.- festgesetzt und A.________ auferlegt. Es werden keine Parteientschädigungen zugesprochen. IV. Zustellung. V.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13. September 2022/mdu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