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160 vom 20. Oktober 2022</w:t>
      </w:r>
    </w:p>
    <w:p>
      <w:r>
        <w:t>FR Kantonsgericht, 2022-10-20, FR</w:t>
      </w:r>
    </w:p>
    <w:p>
      <w:r>
        <w:rPr>
          <w:b/>
        </w:rPr>
        <w:t xml:space="preserve">Quelle: </w:t>
      </w:r>
      <w:r>
        <w:t>https://mcp.opencaselaw.ch/entscheid/fr_gerichte_102_2022_160</w:t>
      </w:r>
    </w:p>
    <w:p>
      <w:r>
        <w:t>FR: FR_GERICHTE 102 2022 160 du 20 octobre 2022</w:t>
      </w:r>
    </w:p>
    <w:p>
      <w:r>
        <w:t>IT: FR_GERICHTE 102 2022 160 del 20 ottobre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dans son recours, A.________ allègue, pour la première fois, que l’intimé n’a pas fait opposition contre les décisions portant sur les frais de sommation du 10 février 2021, 3 mars 2021, 10 mai 2021, 10 août 2021, 10 novembre 2021, 24 novembre 2021 (pièces 4 à 8 du bordereau de la requérante). En effet, dans sa requête de mainlevée, A.________ s’est limitée à déclarer que l’intimé n’avait pas fait opposition contre la décision du 2 février 2022, laquelle portait sur les</w:t>
      </w:r>
    </w:p>
    <w:p>
      <w:r>
        <w:t>Tribunal cantonal TC Page 3 de 4 cotisations AVS/AI/APG réclamées mais pas sur les frais de sommation. Faute d’avoir été formulée en première instance, cette allégation est irrecevable au stade du recours et la Cour n’en tiendra dès lors pas compte.</w:t>
      </w:r>
    </w:p>
    <w:p>
      <w:r>
        <w:rPr>
          <w:b/>
        </w:rPr>
        <w:t>E. 2.1</w:t>
      </w:r>
    </w:p>
    <w:p>
      <w:r>
        <w:t>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Sont assimilées à des jugements les décisions des autorités administratives suisses (art. 80 al. 2 ch. 2 LP). Conformément à la jurisprudence récente du Tribunal fédéral, la mainlevée définitive de l’opposition ne peut être accordée que pour les créances figurant dans le dispositif de la décision valant titre de mainlevée. Elle ne peut inclure les émoluments de recouvrement prévus dans une base légale ou réglementaire. Ni la loi ni le règlement ne peuvent remplacer le titre de mainlevée. Pour obtenir la mainlevée définitive des émoluments, tels que les frais de sommation ou d’introduction de la poursuite, l'autorité administrative de recouvrement doit rendre une décision indépendante pour les émoluments ou prévoir dans le dispositif de sa décision initiale que le paiement d'éventuels frais supplémentaires, déterminés et chiffrés, est dû de manière conditionnelle en cas d'inexécution (cf. arrêt TF 5A_825/2021 du 31 mars 2022 consid. 4.2.2 et 4.2.4). Dans la procédure de mainlevée définitive, l’examen par le juge de la mainlevée portera notamment d’office sur le caractère exécutoire du titre de mainlevée produit par le créancier (STAEHELIN, in Basler Kommentar SchKG I, 3e éd. 2021, art. 80 n. 9; ATF 38 I 26). Le caractère exécutoire doit résulter du titre produit par le créancier ou d'un document qui s'y réfère (CR LP – SCHMIDT, 2005, art. 80 n. 3 ; Extraits 1953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(Extraits 1953 97 ; RFJ 2016 142 consid. 2a).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 impérativement à résulter de la décision produite ou d’un document qui s’y réfère, mais peut ressortir de la requête de mainlevée (RFJ 2017 85 consid. 3b).</w:t>
      </w:r>
    </w:p>
    <w:p>
      <w:r>
        <w:rPr>
          <w:b/>
        </w:rPr>
        <w:t>E. 2.2</w:t>
      </w:r>
    </w:p>
    <w:p>
      <w:r>
        <w:t>En l’espèce, contrairement à ce qu’a retenu la Présidente, la requérante a bien produit, à l’appui de sa réquisition de poursuite, 6 décisions qu’elle a rendues à l’encontre de l’intimé et portant sur les frais de sommation qu’elle réclame et qui totalisent un montant de CHF 141.- (cf. pièces 4 à 8 du bordereau de la requérante). Ces décisions font mention de la voie de droit et du délai dans lequel elles peuvent être contestées. Force est toutefois de constater qu’aucune attestation relative au caractère définitif et exécutoire n’est apposée sur ces décisions et que la requérante n’a pas allégué, dans sa requête, que ces décisions n’avaient pas fait l’objet d’opposition, respectivement qu’elles étaient entrées en force, faits qui ont été allégués uniquement en procédure de recours, soit de manière tardive (cf. supra consid. 1.3.).</w:t>
      </w:r>
    </w:p>
    <w:p>
      <w:r>
        <w:t>Tribunal cantonal TC Page 4 de 4 Il en découle que le caractère définitif et exécutoire des décisions portant sur les frais de sommation à concurrence d’un montant total de CHF 141.- n’a pas été établi de sorte qu’elles ne constituent pas des titres de mainlevée définitive et que la mainlevée ne saurait être prononcée pour ces frais.</w:t>
      </w:r>
    </w:p>
    <w:p>
      <w:r>
        <w:rPr>
          <w:b/>
        </w:rPr>
        <w:t>E. 2.3</w:t>
      </w:r>
    </w:p>
    <w:p>
      <w:r>
        <w:t>S’agissant des intérêts échus de CHF 7.70 réclamés par la recourante, ils ne sont pas fondés sur une décision produite par A.________ de sorte que la mainlevée définitive ne peut pas non plus être prononcée pour ce montant (cf. arrêt TF 5A_825/2021 du 31 mars 2022 consid. 4.2.2 et 4.2.4), la recourante n'expliquant au surplus pas à quel titre ces intérêts seraient dus. Il s’ensuit le rejet du recours et la confirmation de la décision attaquée.</w:t>
      </w:r>
    </w:p>
    <w:p>
      <w:r>
        <w:rPr>
          <w:b/>
        </w:rPr>
        <w:t>E. 3</w:t>
      </w:r>
    </w:p>
    <w:p>
      <w:r>
        <w:t>Les frais de la procédure de recours sont mis à la charge de A.________, qui succombe (art. 106 al. 1 CPC). Ils comprennent les frais judiciaires, fixés forfaitairement à CHF 80.- (art. 48 et 61 al. 1 OELP). Ils seront prélevés sur l’avance de frais versée le 16 septembre 2022. Il n’est pas alloué de dépens à l’intimé qui ne s’est pas déterminé sur le recours. la Cour arrête : I. Le recours est rejeté. Partant, la décision de la Présidente du Tribunal civil d’arrondissement de la Sarine du 18 août 2022 est confirmée. II. Les frais de la procédure de recours, fixés à CHF 80.-, sont mis à la charge de A.________ et prélevés sur l’avance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octobre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