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156 vom 2. September 2022</w:t>
      </w:r>
    </w:p>
    <w:p>
      <w:r>
        <w:t>FR Kantonsgericht, 2022-09-02, DE</w:t>
      </w:r>
    </w:p>
    <w:p>
      <w:r>
        <w:rPr>
          <w:b/>
        </w:rPr>
        <w:t xml:space="preserve">Quelle: </w:t>
      </w:r>
      <w:r>
        <w:t>https://mcp.opencaselaw.ch/entscheid/fr_gerichte_102_2022_156</w:t>
      </w:r>
    </w:p>
    <w:p>
      <w:r>
        <w:t>FR: FR_GERICHTE 102 2022 156 du 2 septembre 2022</w:t>
      </w:r>
    </w:p>
    <w:p>
      <w:r>
        <w:t>IT: FR_GERICHTE 102 2022 156 del 2 settembre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10 jours, faire l'objet d'un recours. In casu, la décision attaquée a été notifiée au recourant le 16 août 2022; interjeté le 25 août 2022, le recours l’a dès lors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Tribunal cantonal TC Page 3 de 4 débiteurs, extrait du registre des poursuites, comptes annuels récents, bilan intermédiaire, etc. (arrêt TF 5P.399/1999 du 14 janvier 2000 consid. 2b et les références; cf. aussi arrêt TC du 29 novembre 2000 in RFJ 2001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159-270, 2e éd. 2001, art. 174 n. 43 s.). Le débiteur doit donc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indéterminée (AMONN / WALTHER, Grundriss des Schuldbetreibungs- und Konkurs- rechts, 9e éd. 2013, § 38 n. 14).</w:t>
      </w:r>
    </w:p>
    <w:p>
      <w:r>
        <w:rPr>
          <w:b/>
        </w:rPr>
        <w:t>E. 2.2</w:t>
      </w:r>
    </w:p>
    <w:p>
      <w:r>
        <w:t>En l'espèce, la dette en poursuite se montait à CHF 1'704.40, intérêts et frais compris. L'ordre que le recourant a donné à sa banque d'acquitter ce montant auprès du Greffe du tribunal a été exécuté le lundi 15 août 2022. Le fait que cet ordre aurait été donné le (jeudi) 11 août 2022, soit avant l'audience de faillite, outre qu'il est peu vraisemblable dès lors que les ordres bancaires sont en règle générale exécutés le jour ouvrable suivant, est également sans pertinence, seule la date d'exécution étant déterminante. Cela étant, compte tenu du versement de CHF 1'704.40 au Greffe du tribunal le 15 août 2022, les conditions de l'art. 174 al. 2 ch. 1 et 2 LP sont réalisées.</w:t>
      </w:r>
    </w:p>
    <w:p>
      <w:r>
        <w:rPr>
          <w:b/>
        </w:rPr>
        <w:t>E. 2.3</w:t>
      </w:r>
    </w:p>
    <w:p>
      <w:r>
        <w:t>Nonobstant ce qui précède, le recours doit cependant être rejeté au motif que le recourant n’a pas rendu vraisemblable sa solvabilité. Il n'a, en effet, produit aucun document à cet égard, tels qu'un extrait de compte bancaire, un bilan intermédiaire, une liste des débiteurs ou un extrait du registre des poursuites. L'on ignore donc tout de sa situation financière réelle, hormis ses propres allégations. Or, il résulte de l'extrait du registre des poursuites qui a été joint d'office au dossier qu'outre la dette ayant donné lieu à la faillite, il fait actuellement l'objet de 9 poursuites au stade de la commination de faillite, de 2 poursuites au stade de la saisie, ainsi que de 7 poursuites récemment introduites, pour un montant total de CHF 31'312.78. Dans ces circonstances, à défaut de tout élément probant contraire, il y a lieu d’admettre que le recourant ne se trouve pas uniquement de manière temporaire dans l'impossibilité d'honorer ses dettes échues, mais que ses difficultés financières sont au contraire durables. Partant, le recours doit être rejeté et la faillite prononcée en première instance confirmée.</w:t>
      </w:r>
    </w:p>
    <w:p>
      <w:r>
        <w:rPr>
          <w:b/>
        </w:rPr>
        <w:t>E. 3</w:t>
      </w:r>
    </w:p>
    <w:p>
      <w:r>
        <w:t>L’attention du recourant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du recourant, qui succombe (art. 106 al. 1 CPC). Ils comprennent les frais judiciaires, fixés forfaitairement à CHF 500.- Tribunal cantonal TC Page 4 de 4 (art. 52 et 61 al. 1 de l’ordonnance du 23 septembre 1996 sur les émoluments perçus en application de la loi fédérale sur la poursuite pour dettes et la faillite [OELP ; RS 281.35]).</w:t>
      </w:r>
    </w:p>
    <w:p>
      <w:r>
        <w:rPr>
          <w:b/>
        </w:rPr>
        <w:t>E. 5.2</w:t>
      </w:r>
    </w:p>
    <w:p>
      <w:r>
        <w:t>Il n'y a pas lieu d'allouer d’équitable indemnité de partie à l’intimée, dès lors qu'elle n’a pas été invitée à se déterminer sur le recours. la Cour arrête : I. Le recours est rejeté. Partant, la décision de faillite rendue le 12 août 2022 par la Présidente du Tribunal civil de la Broye est confirmée. II. La requête d'effet suspensif du 25 août 2022 est sans objet. III. Les frais de la procédure de recours sont mis à la charge de A.________.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septembre 2022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