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151 vom 20. Oktober 2022</w:t>
      </w:r>
    </w:p>
    <w:p>
      <w:r>
        <w:t>FR Kantonsgericht, 2022-10-20, FR</w:t>
      </w:r>
    </w:p>
    <w:p>
      <w:r>
        <w:rPr>
          <w:b/>
        </w:rPr>
        <w:t xml:space="preserve">Quelle: </w:t>
      </w:r>
      <w:r>
        <w:t>https://mcp.opencaselaw.ch/entscheid/fr_gerichte_102_2022_151</w:t>
      </w:r>
    </w:p>
    <w:p>
      <w:r>
        <w:t>FR: FR_GERICHTE 102 2022 151 du 20 octobre 2022</w:t>
      </w:r>
    </w:p>
    <w:p>
      <w:r>
        <w:t>IT: FR_GERICHTE 102 2022 151 del 20 ottobre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w:t>
      </w:r>
    </w:p>
    <w:p>
      <w:r>
        <w:t>Tribunal cantonal TC Page 3 de 5 al. 2 CPC), délai que le recourant a respecté. La cognition de la Cour d’appel est pleine et entière en droit; s’agissant des faits, elle est limitée à leur constatation manifestement inexacte (art. 320 CPC). En application de l'art. 326 al.1 CPC, les conclusions, allégations de faits et preuves nouvelles sont irrecevables.</w:t>
      </w:r>
    </w:p>
    <w:p>
      <w:r>
        <w:rPr>
          <w:b/>
        </w:rPr>
        <w:t>E. 1.2</w:t>
      </w:r>
    </w:p>
    <w:p>
      <w:r>
        <w:t>La valeur litigieuse est inférieure à CHF 30'000.- (cf. art. 51 al. 1 let. a art. 74 al. 1 let. b LTF).</w:t>
      </w:r>
    </w:p>
    <w:p>
      <w:r>
        <w:rPr>
          <w:b/>
        </w:rPr>
        <w:t>E. 1.3</w:t>
      </w:r>
    </w:p>
    <w:p>
      <w:r>
        <w:t>La Cour statue sur pièces, conformément à l'art. 327 al. 2 CPC.</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ABBET/VEUILLET, La mainlevée de l’opposition, 2017, art. 82 LP n. 32 et 92).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 arrêt TF 5A 435/2015 du 13 octobre 2015 consid. 3.2.1.1).</w:t>
      </w:r>
    </w:p>
    <w:p>
      <w:r>
        <w:rPr>
          <w:b/>
        </w:rPr>
        <w:t>E. 2.2</w:t>
      </w:r>
    </w:p>
    <w:p>
      <w:r>
        <w:t>Le recourant conteste le refus de prononcer la mainlevée dans les poursuites nº fff et ddd portant sur les montants de CHF 21'704.95 et de CHF 7'418.40. Il soutient que la décision de la Présidente du Tribunal des prud’hommes de l’arrondissement de la Gruyère (ci-après : la Présidente</w:t>
      </w:r>
    </w:p>
    <w:p>
      <w:r>
        <w:t>Tribunal cantonal TC Page 4 de 5 du Tribunal des prud’hommes) du 4 décembre 2019, produite en première instance, attestant de l’acquiescement du poursuivi de ses créances pour un montant de CHF 30'000.-, et qui doit être mise en relation avec les avis spéciaux aux créanciers produits, vaut titre de mainlevée définitive pour ces deux créances. De son côté, l’intimé conteste l’existence d’un titre de mainlevée définitive ou provisoire.</w:t>
      </w:r>
    </w:p>
    <w:p>
      <w:r>
        <w:rPr>
          <w:b/>
        </w:rPr>
        <w:t>E. 2.3</w:t>
      </w:r>
    </w:p>
    <w:p>
      <w:r>
        <w:t>Le libellé des deux commandements de payer relatifs aux poursuites en cause indique comme « titre de la créance ou cause de l’obligation » : « Acte de défaut de biens après faillite – Faillite nº eee ». La décision de la Présidente du Tribunal des prud’hommes du 4 décembre 2019 n’est donc pas mentionnée comme titre des créances ou cause de l’obligation. C’est donc à juste titre que la Présidente n’a pas tenu compte de cette décision comme titre de mainlevée et il n’y a là aucun formalisme excessif, contrairement à ce que soutient le recourant à qui il appartient d’intituler correctement la cause de ses obligations, d’autant qu’il est représenté par un avocat. En outre, même si l’on devait tenir compte de cette décision et examiner si elle vaut titre de mainlevée, il conviendrait de constater que son dispositif se borne à condamner l’intimé à payer les dépens du recourant, ce qui vaut titre de mainlevée définitive pour cette prétention, comme l’a retenu la Présidente, et qui n’est plus contesté en procédure de recours. Pour le surplus, il s’agit d’une décision prenant acte que l’action en paiement déposée par A.________ à l’encontre de l’intimé est devenue sans objet et rayant ainsi la cause du rôle. Elle ne condamne pas le débiteur à payer une autre somme d’argent que les dépens. En outre, le fait qu’il soit mentionné dans les motifs de la décision de la Présidente du Tribunal des prud’hommes, que la reconnaissance par la masse en faillite de la créance de A.________ à l’encontre de B.________ doit être assimilée à un acquiescement au sens de l’art. 241 CPC de la part du failli, n’a d’effet que dans le cadre de la faillite en ce sens que la créance ne peut plus être contestée par les autres créanciers puisque la masse en faillite l’a admise, ainsi que dans la procédure prud’hommale en question, pour répartir les frais de la procédure. Le failli n’a quant à lui pas reconnu les créances, tel que cela ressort des deux avis spéciaux aux créanciers concernant le dépôt du tableau de distribution dans le cadre de la faillite de B.________ prononcée le 11 janvier 2017 (cf. pièces 4 et 5 du bordereau du requérant). Partant, cette décision ne vaut aucunement titre de mainlevée définitive pour les créances litigieuses. Il n’appartient du reste pas au juge de la mainlevée d’interpréter le titre produit, comme le suggère le recourant. Pour le surplus, les deux avis spéciaux aux créanciers concernant le dépôt du tableau de distribution dans le cadre de la faillite de B.________, qui font état de créances admises à l’état de collocation en faveur du recourant pour les sommes de CHF 21'704.95 et de CHF 7'418.40 (cf. pièces 4 et 5 du bordereau du requérant), ne constituent pas des actes de défaut de biens après faillite au sens de l’art. 265 al. 1 LP. Quoi qu’il en soit, il est mentionné dans ces documents que le failli n’a pas reconnu les deux créances de sorte que le recourant ne dispose pas d’un titre de mainlevée provisoire pour ces montants (art. 265 al. 1 LP). En l’absence de titre de mainlevée définitive ou provisoire, c’est à juste titre que la Présidente a rejeté les requêtes de mainlevée du recourant concernant les deux créances litigieuses.</w:t>
      </w:r>
    </w:p>
    <w:p>
      <w:r>
        <w:t>Tribunal cantonal TC Page 5 de 5</w:t>
      </w:r>
    </w:p>
    <w:p>
      <w:r>
        <w:rPr>
          <w:b/>
        </w:rPr>
        <w:t>E. 3</w:t>
      </w:r>
    </w:p>
    <w:p>
      <w:r>
        <w:t>Les frais de la procédure de recours sont mis à la charge du recourant, qui succombe (art. 106 al. 1 CPC).</w:t>
      </w:r>
    </w:p>
    <w:p>
      <w:r>
        <w:rPr>
          <w:b/>
        </w:rPr>
        <w:t>E. 3.1</w:t>
      </w:r>
    </w:p>
    <w:p>
      <w:r>
        <w:t>Les frais judiciaires, fixés forfaitairement à CHF 500.- (art. 48 et 61 al. 1 OELP), seront prélevés sur l’avance de frais du même montant effectuée le 12 septembre 2022.</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sont arrêtés globalement à la somme de CHF 861.60, TVA par CHF 61.60 comprise. la Cour arrête : I. Le recours est rejeté. Partant, la décision de la Présidente du Tribunal civil de l’arrondissement de la Broye du 5 août 2022 est confirmée. II. Les frais de la procédure de recours sont mis à la charge de A.________. Les frais judiciaires sont fixés à CHF 500.-. Ils seront prélevés sur l’avance de frais du même montant. Les dépens de B.________ sont fixés globalement à la somme de CHF 861.60, TVA par CHF 61.60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octobre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