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134 vom 28. Juli 2022</w:t>
      </w:r>
    </w:p>
    <w:p>
      <w:r>
        <w:t>FR Kantonsgericht, 2022-07-28, FR</w:t>
      </w:r>
    </w:p>
    <w:p>
      <w:r>
        <w:rPr>
          <w:b/>
        </w:rPr>
        <w:t xml:space="preserve">Quelle: </w:t>
      </w:r>
      <w:r>
        <w:t>https://mcp.opencaselaw.ch/entscheid/fr_gerichte_102_2022_134</w:t>
      </w:r>
    </w:p>
    <w:p>
      <w:r>
        <w:t>FR: FR_GERICHTE 102 2022 134 du 28 juillet 2022</w:t>
      </w:r>
    </w:p>
    <w:p>
      <w:r>
        <w:t>IT: FR_GERICHTE 102 2022 134 del 28 luglio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150'000.-.</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 recourant allègue, au stade du recours seulement, que l’intimée aurait eu un comportement vindicatif et hargneux, de sorte que la condition résolutoire assortissant la reconnaissance de dette du 28 novembre 2019 serait réalisée. En effet, A.________ s’est engagé à verser à B.________, en 2020, le montant de CHF 150'000.- pour autant que le comportement de cette dernière à son égard</w:t>
      </w:r>
    </w:p>
    <w:p>
      <w:r>
        <w:t>Tribunal cantonal TC Page 3 de 4 ne soit ni vindicatif ni hargneux. Or, en première instance, le recourant n’a jamais prétendu que cette condition résolutoire était réalisée, ce que le premier juge a d’ailleurs constaté à bon droit (cf. jugement attaqué p. 5), de sorte que cet allégué, tardif au regard de l’art. 326 al. 1 CPC, est irrecevable. Au demeurant, A.________ prétend, à l’appui de son recours, que les causes no ddd, eee, fff et ggg du Tribunal de l’arrondissement de la Sarine qui opposent les parties dans le cadre du reste de l’engagement prétendument pris par le recourant, démontrent bien le comportement vindicatif et hargneux adopté par l’intimée (cf. recours p. 6 dernier alinéa). A l’appui de sa requête de mainlevée, l’intimée a produit la transaction judicaire conclue le 20 décembre 2021 devant le Président du Tribunal civil de la Sarine entre elle-même et H.________ SA, de sorte que les causes mentionnées par le recourant ont été rayées du rôle (cf. P. 8 de la requérante). On ne voit pas en quoi ces causes démontreraient un comportement vindicatif et hargneux de l’intimée dans la mesure où elles n’impliquent pas le recourant mais la société H.________ SA dont il est l’administrateur président ; il n’y a donc pas d’identité entre les parties. En outre, il ressort de la pièce produite que H.________ SA était demanderesse et a donc attrait B.________ en justice.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effet, tout comme en première instance déjà, le recourant soutient que la lettre du 28 novembre 2019 ne peut être considérée comme une reconnaissance de dette car elle s’inscrit dans un contexte qui doit être pris dans sa globalité et que l’intimée se base sur cette lettre sans pour autant alléguer qu’il s’agissait de l’accord final auquel les parties étaient arrivées pour qu’elle quitte le domicile du recourant (cf. recours p. 6 et réponse du 4 avril 2022 à la requête de mainlevée p. 6). Le recourant se contente donc de répéter les arguments qu’il a déjà présentés en première instance sans tenter de réfuter la motivation du premier juge. C’est à juste titre que le Président a considéré que la lettre du 28 novembre 2018 constituait une reconnaissance de dette dans la mesure où A.________ s’est engagé à verser, en 2020, le montant de CHF 150'000.- à B.________, et qu’il n’a pas prouvé que la condition résolutoire stipulée dans la reconnaissance de dette était réalisée, raison pour laquelle la mainlevée provisoire devait être prononcée. En définitive, le recourant ne formule aucune critique, ayant un minimum de consistance, à l'encontre du contenu de la décision querellée elle-même, ne remettant pas en cause la motivation du Président conformément au prescrit de l’art. 321 CPC. Il s’ensuit l’irrecevabilité du recours.</w:t>
      </w:r>
    </w:p>
    <w:p>
      <w:r>
        <w:rPr>
          <w:b/>
        </w:rPr>
        <w:t>E. 2.3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 si bien qu’il suffit d’y renvoyer par adoption de motifs.</w:t>
      </w:r>
    </w:p>
    <w:p>
      <w:r>
        <w:t>Tribunal cantonal TC Page 4 de 4</w:t>
      </w:r>
    </w:p>
    <w:p>
      <w:r>
        <w:rPr>
          <w:b/>
        </w:rPr>
        <w:t>E. 2.4</w:t>
      </w:r>
    </w:p>
    <w:p>
      <w:r>
        <w:t>L’irrecevabilité manifeste du recours doit être prononcée avant tout échange d'écritures (art. 322 al. 1 CPC), par une décision de la Vice-Présidente de la Cour (art. 45 al. 1 let. b et al. 2 de la loi fribourgeoise du 31 mai 2010 sur la justice [LJ; RSF 130.1]).</w:t>
      </w:r>
    </w:p>
    <w:p>
      <w:r>
        <w:rPr>
          <w:b/>
        </w:rPr>
        <w:t>E. 3</w:t>
      </w:r>
    </w:p>
    <w:p>
      <w:r>
        <w:t>Les frais de la procédure de recours sont mis à la charge du recourant, qui succombe (art. 106 al. 1 CPC).</w:t>
      </w:r>
    </w:p>
    <w:p>
      <w:r>
        <w:rPr>
          <w:b/>
        </w:rPr>
        <w:t>E. 3.1</w:t>
      </w:r>
    </w:p>
    <w:p>
      <w:r>
        <w:t>Ils comprennent les frais judiciaires, fixés forfaitairement à CHF 700.- (art. 48 et 61 al. 1 OELP), qui seront prélevés sur l’avance de frais du même montant effectuée le 27 juillet 2022.</w:t>
      </w:r>
    </w:p>
    <w:p>
      <w:r>
        <w:rPr>
          <w:b/>
        </w:rPr>
        <w:t>E. 3.2</w:t>
      </w:r>
    </w:p>
    <w:p>
      <w:r>
        <w:t>Bien que l’intimée n’ait pas été invitée à répondre au recours, conformément au prescrit de l’art. 322 al. 1 CPC, elle s’est néanmoins déterminée sur la requête d’effet suspensif qui lui a directement été adressée par le recourant (cf. recours p. 9), de sorte qu’il convient de lui allouer une indemnité globale de CHF 269.25, y compris CHF 19.25 pour la TVA. la Vice-Présidente arrête: I. Le recours est irrecevable. II. Les frais de la procédure de recours sont mis à la charge de A.________. Les frais judiciaires sont fixés à CHF 700.- et seront prélevés sur l’avance de frais du même montant effectuée le 27 juillet 2022. Il est alloué à B.________, à la charge de A.________, une indemnité globale de CHF 269.25, TVA par CHF 19.25 comprise, à titre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juillet 2022/cov La Vice-Présidente :0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