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119 vom 17. Oktober 2022</w:t>
      </w:r>
    </w:p>
    <w:p>
      <w:r>
        <w:t>FR Kantonsgericht, 2022-10-17, DE</w:t>
      </w:r>
    </w:p>
    <w:p>
      <w:r>
        <w:rPr>
          <w:b/>
        </w:rPr>
        <w:t xml:space="preserve">Quelle: </w:t>
      </w:r>
      <w:r>
        <w:t>https://mcp.opencaselaw.ch/entscheid/fr_gerichte_102_2022_119</w:t>
      </w:r>
    </w:p>
    <w:p>
      <w:r>
        <w:t>FR: FR_GERICHTE 102 2022 119 du 17 octobre 2022</w:t>
      </w:r>
    </w:p>
    <w:p>
      <w:r>
        <w:t>IT: FR_GERICHTE 102 2022 119 del 17 ottobre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les courriers de l’intimée des 4 janvier 2022 et 29 novembre 2021 (pces 5 et 8 recourant) ainsi que le tableau de répartition établi par la poursuivante (pce 7 recourant) produits par A.________ pour la première fois à l’appui de son recours, sont irrecevables. Il n’en sera dès lors pas tenu compte. Il en va de même des allégations du recourant selon lesquelles il aurait contesté la décision sur laquelle se fonde la mainlevée, de même que remis en cause devoir personnellement le montant réclamé. La Cour statuera sur la base des pièces produites en première instance.</w:t>
      </w:r>
    </w:p>
    <w:p>
      <w:r>
        <w:rPr>
          <w:b/>
        </w:rPr>
        <w:t>E. 1.3</w:t>
      </w:r>
    </w:p>
    <w:p>
      <w:r>
        <w:t>La valeur litigieuse est supérieure à CHF 30'000.- (cf. art. 51 al. 1 let. a art. 74 al. 1 let. b LTF). Tribunal cantonal TC Page 3 de 4</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A.________ conteste la validité du titre de mainlevée produit par l’intimée à l’appui de sa requête de mainlevée. Il remet en cause son caractère définitif et exécutoire, de même que le respect de son droit d’être entendu. En l’espèce, rien ne permet de remettre en cause le caractère définitif et exécutoire de la décision sur laquelle se fonde la poursuite, au même titre que le droit d’être entendu du plaignant. En effet, quels que soient le contenu de la décision administrative et l’identité de la personne qui a attesté de son caractère définitif et exécutoire, il ressort des pièces versées au dossier que le débiteur a compris qu’un montant de CHF 38’310.- lui était réclamé et que ce dernier n’a pas fait usage des voies de droit indiquées. Au contraire, il apparaît que A.________ a requis un échelonnement de paiement et qu’il n’a ensuite pas respecté ses engagements, raison pour laquelle l’intimée a introduit une poursuite. Ainsi, dès lors que le créancier poursuivant a produit un titre exécutoire et que A.________ n’a pas établi par titre avoir payé sa dette ou bénéficié d’un sursis, ni même invoqué la prescription (art. 81 al. 1 LP), la mainlevée définitive devait être prononcée. Partant, le recours doit être rejeté dans la mesure où il est manifestement mal fondé, la décision attaquée ne comportant en définitive aucune erreur, que ce soit dans l’application du droit et/ou dans sa justification en fait.</w:t>
      </w:r>
    </w:p>
    <w:p>
      <w:r>
        <w:rPr>
          <w:b/>
        </w:rPr>
        <w:t>E. 3</w:t>
      </w:r>
    </w:p>
    <w:p>
      <w:r>
        <w:t>Les frais de la procédure de recours sont mis à la charge de A.________, qui succombe (art. 106 al. 1 CPC). Ils comprennent les frais judiciaires, fixés forfaitairement à CHF 450.- (art. 48 et 61 al. 1 OELP). Ils seront prélevés sur l’avance de frais du recourant. Il n’est pas alloué de dépens. Tribunal cantonal TC Page 4 de 4 la Cour arrête : I. Le recours est rejeté. Partant, la décision du Président du Tribunal civil de l’arrondissement de la Sarine du 30 mai 2022 est confirmée. II. Les frais de la procédure de recours, fixés à CHF 450.-, sont mis à la charge de A.________ et prélevés sur l’avance versée.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octobre 2022/sag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