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103 vom 14. Juli 2022</w:t>
      </w:r>
    </w:p>
    <w:p>
      <w:r>
        <w:t>FR Kantonsgericht, 2022-07-14, FR</w:t>
      </w:r>
    </w:p>
    <w:p>
      <w:r>
        <w:rPr>
          <w:b/>
        </w:rPr>
        <w:t xml:space="preserve">Quelle: </w:t>
      </w:r>
      <w:r>
        <w:t>https://mcp.opencaselaw.ch/entscheid/fr_gerichte_102_2022_103</w:t>
      </w:r>
    </w:p>
    <w:p>
      <w:r>
        <w:t>FR: FR_GERICHTE 102 2022 103 du 14 juillet 2022</w:t>
      </w:r>
    </w:p>
    <w:p>
      <w:r>
        <w:t>IT: FR_GERICHTE 102 2022 103 del 14 luglio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seulement, différentes pièces qui ne figuraient pas dans le dossier de première instance. Il en va notamment ainsi de la réquisition de poursuite du</w:t>
      </w:r>
    </w:p>
    <w:p>
      <w:r>
        <w:rPr>
          <w:b/>
        </w:rPr>
        <w:t>E. 5</w:t>
      </w:r>
    </w:p>
    <w:p>
      <w:r>
        <w:t>juillet 2021. Elle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w:t>
      </w:r>
    </w:p>
    <w:p>
      <w:r>
        <w:t>Tribunal cantonal TC Page 3 de 4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par la société A.________ SA ne contient aucune motivation idoine. En effet, l’intéressée se borne à développer une argumentation purement appellatoire et, partant, irrecevable, dans la mesure où elle repose essentiellement sur des faits qui n’ont pas été établis en première instance, mais ressortent de pièces irrecevables produites au stade du recours seulement (cf. supra consid. 1.3). Pour le surplus, la recourante ne semble pas véritablement contester qu’une créance constatée par un acte de défaut de biens se prescrit par 20 ans à compter de la délivrance de l’acte de défaut de biens (cf. décision attaquée, p. 3). Elle ne semble pas véritablement contester non plus les constatations du premier juge selon lesquelles, d’une part, le commandement de payer n° ccc a été délivré le 12 juillet 2021, soit plus de 20 ans après l’acte de défaut de bien délivré le 6 juillet 2001 et, d’autre part, que la requérante n’a produit aucune pièce démontrant qu’elle aurait introduit la poursuite avant le 6 juillet 2021 ou que la prescription aurait été interrompue à un moment donné, de sorte que la créance en question doit être considérée comme étant prescrite (ibidem). Ce faisant, elle n'expose pas en quoi le premier juge aurait eu tort de rejeter sa requête de mainlevée pour les motifs qui précèdent. En définitive, la recourante ne formule aucune critique, ayant un minimum de consistance, à l'encontre du contenu de la décision querellée elle-même, ne remettant pas en cause la motivation du Président conformément au prescrit de l’art. 321 CPC. Il s’ensuit l’irrecevabilité du recours. 2.3. Quand bien même il serait recevable, le recours devrait de toute façon être rejeté dans la mesure où il est manifestement mal fondé, la décision attaquée ne comportant en définitive aucune erreur que ce soit dans l’application du droit et/ou dans sa justification en fait, si bien qu’il suffit d’y renvoyer par adoption de motifs. 3. Les frais de la procédure de recours sont mis à la charge de la recourante, qui succombe (art. 106 al. 1 CPC). 3.1. Ils comprennent les frais judiciaires, fixés forfaitairement à CHF 200.- (art. 48 et 61 al. 1 OELP), qui seront prélevés sur l’avance de frais du même montant effectuée le 8 juillet 2022. 3.2. Il n'est pas alloué de dépens à l’intimée, qui n’a pas été invitée à se déterminer sur le recours, conformément au prescrit de l’art. 322 al. 1 CPC.</w:t>
      </w:r>
    </w:p>
    <w:p>
      <w:r>
        <w:t>Tribunal cantonal TC Page 4 de 4 la Cour arrête: I. Le recours est irrecevable. II. Les frais de la procédure de recours sont mis à la charge de la société A.________ SA. Les frais judiciaires sont fixés à CHF 200.- et seront prélevés sur l’avance de frais du même montant effectuée le 8 juillet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juillet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