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83 vom 6. Juli 2021</w:t>
      </w:r>
    </w:p>
    <w:p>
      <w:r>
        <w:t>FR Kantonsgericht, 2021-07-06, FR</w:t>
      </w:r>
    </w:p>
    <w:p>
      <w:r>
        <w:rPr>
          <w:b/>
        </w:rPr>
        <w:t xml:space="preserve">Quelle: </w:t>
      </w:r>
      <w:r>
        <w:t>https://mcp.opencaselaw.ch/entscheid/fr_gerichte_102_2021_83</w:t>
      </w:r>
    </w:p>
    <w:p>
      <w:r>
        <w:t>FR: FR_GERICHTE 102 2021 83 du 6 juillet 2021</w:t>
      </w:r>
    </w:p>
    <w:p>
      <w:r>
        <w:t>IT: FR_GERICHTE 102 2021 83 del 6 luglio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7</w:t>
      </w:r>
    </w:p>
    <w:p>
      <w:r>
        <w:rPr>
          <w:b/>
        </w:rPr>
        <w:t>E. 1.3.2</w:t>
      </w:r>
    </w:p>
    <w:p>
      <w:r>
        <w:t>En l’espèce, la recourante a produit, au stade du recours, un relevé de compte de la banque F.________ qui n’avait pas été produit en première instance. Il constitue un nouveau moyen, lequel est tardif au regard de l’art. 326 al. 1 CPC, et ainsi irrecevable. Il n’en sera dès lors pas tenu compte et la Cour statuera sur la base des allégués et des pièces produites en première instance.</w:t>
      </w:r>
    </w:p>
    <w:p>
      <w:r>
        <w:rPr>
          <w:b/>
        </w:rPr>
        <w:t>E. 2.1.1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2.1.2</w:t>
      </w:r>
    </w:p>
    <w:p>
      <w:r>
        <w:t>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art. 80 n. 124).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(arrêt TF 5A_38/2018 du 14 mai 2018 consid. 3.4.2 ; arêt TF 5A_838/2017 du 19 mars 2018 consid. 3.1 et la doctrine citée).</w:t>
      </w:r>
    </w:p>
    <w:p>
      <w:r>
        <w:t>Tribunal cantonal TC Page 4 de 7 Pour qu'une décision entre en force, il faut que la notification ait eu lieu, ce qu'il appartient à l'administration de prouver (ATF 105 III 43 consid. 2a). De jurisprudence constante, le fardeau de la preuve de la notification et de la date de celle-ci incombe en principe à l'autorité qui entend en tirer une conséquence juridique (ATF 142 IV 125 consid. 4.3 ; ATF 136 V 295 consid. 5.9 et les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arrêt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ATF 129 I 8 consid. 2.2 ; ATF 124 V 400 consid. 2a). Les décisions qui n’ont pas été communiquées à la personne concernée ne déploient en principe aucun effet juridique et n’acquièrent pas force exécutoire (ATF 141 III 97 consid. 7.1 ; ABBET, La mainlevée de l’opposition, Commentaire des art. 79 à 84 LP, 2017, n. 147, p. 59). La preuve de la réception de la décision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1991, pp. 154-155). Selon la jurisprudence bien établie du Tribunal fédéral,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arrêt TF 5A_38/2018 consid. 3.4.3 ; arrêt TF 5A_838/2017 consid. 3.2.2 ; arrêt TF 5D_190/2017 du 31 janvier 2018 consid. 6.1). Une attestation d’entrée en force de la chose jugée ne suffit pas en revanche à apporter la preuve de la notification. En cas de notification irrégulière, l’intéressé doit agir dans un délai raisonnable dès qu’il a connaissance de quelque manière que ce soit de la décision ; une inactivité de deux mois a été jugée excessive (ABBET, n. 147, p. 60).</w:t>
      </w:r>
    </w:p>
    <w:p>
      <w:r>
        <w:rPr>
          <w:b/>
        </w:rPr>
        <w:t>E. 2.2</w:t>
      </w:r>
    </w:p>
    <w:p>
      <w:r>
        <w:t>La recourante allègue que les décisions de l’intimé sur lesquelles il fonde sa requête de mainlevée ne lui sont pas parvenues du fait que l’adresse de son siège n’est qu’un dépôt sans personnel ni boîte aux lettres et que l’administration de la société est assurée par la fiduciaire G.________ Sàrl, à H.________, où la recourante dispose d’une adresse case postale. La recourante relève en outre que ces dispositions étaient connues de l’intimé de sorte que la recourante pouvait s’attendre de bonne foi à ce que son courrier lui soit adressé à son adresse à H.________.</w:t>
      </w:r>
    </w:p>
    <w:p>
      <w:r>
        <w:rPr>
          <w:b/>
        </w:rPr>
        <w:t>E. 2.3.1</w:t>
      </w:r>
    </w:p>
    <w:p>
      <w:r>
        <w:t>La Cour constate que l’adresse du siège de la recourante, figurant au Registre du commerce, est route I.________, à J.________, adresse à laquelle l’intimé a envoyé ses décisions du 4 mai 2019 (DO 5), du 11 octobre 2019 (DO 11) et du 26 février 2020 (DO 3) à la recourante. Il ressort également des courriers des 15 novembre 2018 et 5 décembre 2018 de l’intimé à la recourante ainsi que des échanges d’emails du 4 et 9 octobre 2019 entre la recourante et l’intimé (DO 8 à 10) que ce dernier a indiqué à la recourante qu’il n’utiliserait que l’adresse officielle de la société pour l’envoi de ses courriers, soit celle figurant au Registre du commerce, laquelle a été indiquée par la recourante lors de l’immatriculation de son véhicule, le 2 novembre 2018, et qu’il lui appartient, cas échéant, de faire dévier son courrier à l’adresse de son choix, éventuellement de</w:t>
      </w:r>
    </w:p>
    <w:p>
      <w:r>
        <w:t>Tribunal cantonal TC Page 5 de 7 faire modifier son adresse au Registre du commerce. Il ressort également des correspondances précitées que le courrier envoyé à l’adresse du siège de la recourante est systématiquement retourné par la poste. Malgré cela l’intimé a indiqué à la recourante qu’il enverrait toujours ses courriers à l’adresse du siège de la société qui figure au Registre du commerce. Ainsi, la recourante ne peut se prévaloir du fait qu’elle avait averti l’intimé qu’elle ne réceptionnait pas les courriers qui arrivaient à l’adresse de son siège dans la mesure où il s’agit de son adresse officielle, qu’elle avait du reste elle-même communiquée à l’intimé lors de l’immatriculation de son véhicule, de sorte qu’il lui incombe de prendre connaissance du courrier qui lui est notifié à cette adresse. Partant, l’adresse de notification était parfaitement valable. En revanche, on ignore si les décisions du 4 mai 2019 (DO 5), du 11 octobre 2019 (DO 11) et du 26 février 2020 (DO 3) ont été adressées en courrier recommandé ou sous pli simple. Sur la décision du 26 février 2020 (DO 3) et sur celle du 11 octobre 2019 (DO 11), il est indiqué « recommandé ». Aucun accusé de réception ni document de suivi des envois postaux ne figure cependant au dossier de sorte qu’il n’est pas établi que ces décisions ont bien été envoyées sous pli recommandé. Quant à la décision du 4 mai 2019 (DO 5), il n’est pas mentionné qu’elle a été envoyée par courrier recommandé. Partant, il convient de retenir que ces décisions ont été adressées sous pli simple à la recourante.</w:t>
      </w:r>
    </w:p>
    <w:p>
      <w:r>
        <w:rPr>
          <w:b/>
        </w:rPr>
        <w:t>E. 2.3.2</w:t>
      </w:r>
    </w:p>
    <w:p>
      <w:r>
        <w:t>Or, la recourante conteste avoir reçu ces décisions, soutenant qu’elles ne lui ont jamais été notifiées. Etant donné que la recourante n’avait aucune boîte aux lettres ni personnel administratif à l’adresse de son siège, il apparaît probable que les décisions, adressées sous pli simple, n’ont pas pu être remises à la recourante, sans que l’intimé ne dispose d’un accusé de réception, à tout le moins ne l’ait produit, attestant que les décisions sont bien arrivées à l’adresse de destination qui était, en soi, valable. Il convient d’examiner si la preuve de la notification des décisions a été apportée par un autre moyen. A.________ SA a indiqué dans sa détermination du 6 mars 2020 avoir contesté le bienfondé des décisions par une réclamation puis un recours au Conseil d’Etat K.________ déposé le 14 janvier 2020 (DO 42 ss), relevant qu’elle avait eu connaissance des décisions invoquées comme titre de mainlevée le 2 décembre 2019 suite à sa demande à l’intimé du 27 novembre 2019 (DO 46). Le Président a alors suspendu la procédure de mainlevée le 2 juin 2020 (DO 53) et l’a reprise le 11 mars 2021, considérant que les décisions justifiant la suspension des procédures avaient été rendues (DO 58). Or, l’issue de la procédure de recours introduite par A.________ SA devant le Conseil d’Etat K.________ et dans laquelle elle conteste la validité de la notification des décisions ne ressort pas du dossier de sorte que l’on ignore si les décisions produites par le requérant comme titres de mainlevée ont valablement été notifiées à la recourante et sont entrées en force, d’autant que tant la réclamation que le recours ont effet suspensif (art. 34d et 51 LPJA ; RSV 172.6). Il incombait au requérant de démontrer la validité de la notification des décisions qu’il invoque comme titres de mainlevée en produisant, par exemple, le jugement attesté définitif et exécutoire du Conseil d’Etat confirmant le bienfondé des décisions du requérant. La preuve de la notification ne peut simplement se déduire de l’attestation « décision entrée en force » émise par E.________ sur sa décision du 4 mai 2019 (DO 5), d’autant qu’elle a été établie le 19 février 2020, alors que la procédure de recours devant le Conseil d’Etat était encore vraisemblablement pendante puisque A.________ SA a déposé sa détermination sur les observations de E.________ le 5 mars 2020 (DO 43). On doit donc considérer que la preuve de la notification des décisions invoquées comme titres de mainlevée, qu’il incombe à l’intimé d’apporter, n’a pas été établie, et il y a donc lieu de se fonder</w:t>
      </w:r>
    </w:p>
    <w:p>
      <w:r>
        <w:t>Tribunal cantonal TC Page 6 de 7 sur les déclarations du destinataire des envois. Toute autre solution reviendrait à inverser le fardeau de la preuve. Le recours doit donc être admis et la requête de mainlevée rejetée, faute de preuve de la notification de décisions qui ne pouvaient dès lors être définitives et exécutoires au jour de la notification de commandement de payer, le 23 janvier 2020 (DO 2), date déterminante (ABBET, art. 80 LP n. 143).</w:t>
      </w:r>
    </w:p>
    <w:p>
      <w:r>
        <w:rPr>
          <w:b/>
        </w:rPr>
        <w:t>E. 3</w:t>
      </w:r>
    </w:p>
    <w:p>
      <w:r>
        <w:t>Les frais de mainlevée, fixés à CHF 100.-, sont mis à la charge de B.________. Ils seront prélevés sur l'avance de frais qu’il a effectuée (art. 111 al. 1 CPC). II. Les frais de la procédure de recours sont mis à la charge de B.________. Les frais judiciaires sont fixés à CHF 80.- et seront prélevés sur l’avance de frais effectuée par A.________ SA, qui aura droit à leur remboursement par B.________.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juillet 2021/say La Présidente : La Greffière-rapporteure :</w:t>
      </w:r>
    </w:p>
    <w:p>
      <w:r>
        <w:rPr>
          <w:b/>
        </w:rPr>
        <w:t>E. 3.1</w:t>
      </w:r>
    </w:p>
    <w:p>
      <w:r>
        <w:t>Les frais judiciaires de première instance ont été fixés à CHF 100.-, montant que les parties n’ont pas remis en cause. Ils sont mis à la charge de B.________ et prélevés sur l’avance de frais qu’il a versée (art. 111 al. 1 CPC). Quant aux frais judiciaires de la procédure de recours, ils sont fixés à CHF 80.- et seront prélevés sur l’avance de frais effectuée par A.________ SA, qui aura droit à leur remboursement par B.________ (art. 111 al. 1 et 2 CPC).</w:t>
      </w:r>
    </w:p>
    <w:p>
      <w:r>
        <w:rPr>
          <w:b/>
        </w:rPr>
        <w:t>E. 3.2</w:t>
      </w:r>
    </w:p>
    <w:p>
      <w:r>
        <w:t>Il ne sera pas alloué de dépens ni d’indemnité équitable à la recourante, qui n’en a pas requis et qui n’est pas représentée par un mandataire professionnel. (dispositif en page suivante)</w:t>
      </w:r>
    </w:p>
    <w:p>
      <w:r>
        <w:t>Tribunal cantonal TC Page 7 de 7 la Cour arrête : I. Le recours est admis. Partant, la décision du Président du Tribunal civil de l’arrondissement de la Glâne du 22 avril 2021 est réformée et prend la teneur suivante : 1. La mainlevée définitive de l'opposition formée par la société A.________ SA au commandement de payer n° ccc de l'Office des poursuites de la Glâne est refusée. 2. Aucune indemnité équitable ni dépens n’est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